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9E8B0" w14:textId="40D77054" w:rsidR="002B576F" w:rsidRPr="00066EF9" w:rsidRDefault="00066EF9" w:rsidP="00066EF9">
      <w:pPr>
        <w:pStyle w:val="Titre1"/>
        <w:jc w:val="center"/>
        <w:rPr>
          <w:u w:val="single"/>
        </w:rPr>
      </w:pPr>
      <w:r w:rsidRPr="00066EF9">
        <w:rPr>
          <w:u w:val="single"/>
        </w:rPr>
        <w:t>Notice « Renseignement d’un projet de décompte ‘GEMME’ »</w:t>
      </w:r>
    </w:p>
    <w:p w14:paraId="3C45F278" w14:textId="77777777" w:rsidR="00066EF9" w:rsidRPr="00066EF9" w:rsidRDefault="00066EF9" w:rsidP="00066EF9"/>
    <w:p w14:paraId="7F9BC9A8" w14:textId="112332A0" w:rsidR="00922E63" w:rsidRPr="00922E63" w:rsidRDefault="00922E63">
      <w:pPr>
        <w:rPr>
          <w:b/>
          <w:bCs/>
          <w:u w:val="single"/>
        </w:rPr>
      </w:pPr>
      <w:r w:rsidRPr="00922E63">
        <w:rPr>
          <w:b/>
          <w:bCs/>
          <w:u w:val="single"/>
        </w:rPr>
        <w:t>Modalités de remise du projet de décompte :</w:t>
      </w:r>
    </w:p>
    <w:p w14:paraId="44DC4D7B" w14:textId="7C64E4A0" w:rsidR="00280C70" w:rsidRDefault="0050432B">
      <w:r>
        <w:t>Les projets de décompte doivent être remis</w:t>
      </w:r>
      <w:r w:rsidR="00922E63">
        <w:t xml:space="preserve"> (1)</w:t>
      </w:r>
      <w:r>
        <w:t xml:space="preserve"> dans une format numérique signé (</w:t>
      </w:r>
      <w:r w:rsidR="00922E63">
        <w:t xml:space="preserve">Version </w:t>
      </w:r>
      <w:r>
        <w:t xml:space="preserve">non </w:t>
      </w:r>
      <w:r w:rsidR="00922E63">
        <w:t>modifiable, tel que fichier .</w:t>
      </w:r>
      <w:r>
        <w:t>PDF signé</w:t>
      </w:r>
      <w:r w:rsidR="00922E63">
        <w:t xml:space="preserve"> numériquement</w:t>
      </w:r>
      <w:r>
        <w:t xml:space="preserve">, ou scan </w:t>
      </w:r>
      <w:r w:rsidR="00280C70">
        <w:t xml:space="preserve">de la versions </w:t>
      </w:r>
      <w:r>
        <w:t>papier signé</w:t>
      </w:r>
      <w:r w:rsidR="00280C70">
        <w:t>e)</w:t>
      </w:r>
      <w:r w:rsidR="00922E63">
        <w:t xml:space="preserve">, accompagnée (2) de la </w:t>
      </w:r>
      <w:r w:rsidR="00280C70">
        <w:t>copie de la version numérique</w:t>
      </w:r>
      <w:r w:rsidR="00922E63">
        <w:t xml:space="preserve"> originale</w:t>
      </w:r>
      <w:r w:rsidR="00280C70">
        <w:t xml:space="preserve"> au format tableur, </w:t>
      </w:r>
      <w:r w:rsidR="00280C70" w:rsidRPr="00922E63">
        <w:rPr>
          <w:b/>
          <w:bCs/>
        </w:rPr>
        <w:t>comprenant les mêmes saisies.</w:t>
      </w:r>
    </w:p>
    <w:p w14:paraId="39575104" w14:textId="77777777" w:rsidR="00922E63" w:rsidRPr="00066EF9" w:rsidRDefault="00922E63">
      <w:pPr>
        <w:rPr>
          <w:b/>
          <w:bCs/>
          <w:sz w:val="2"/>
          <w:szCs w:val="2"/>
          <w:u w:val="single"/>
        </w:rPr>
      </w:pPr>
    </w:p>
    <w:p w14:paraId="4383BD67" w14:textId="45A3D60B" w:rsidR="00280C70" w:rsidRPr="00922E63" w:rsidRDefault="00280C70">
      <w:pPr>
        <w:rPr>
          <w:b/>
          <w:bCs/>
          <w:u w:val="single"/>
        </w:rPr>
      </w:pPr>
      <w:r w:rsidRPr="00922E63">
        <w:rPr>
          <w:b/>
          <w:bCs/>
          <w:u w:val="single"/>
        </w:rPr>
        <w:t>Fonctionnement général du projet de décompte GEMME</w:t>
      </w:r>
      <w:r w:rsidR="00922E63" w:rsidRPr="00922E63">
        <w:rPr>
          <w:b/>
          <w:bCs/>
          <w:u w:val="single"/>
        </w:rPr>
        <w:t> :</w:t>
      </w:r>
    </w:p>
    <w:p w14:paraId="266D6F5B" w14:textId="16D8EA03" w:rsidR="00280C70" w:rsidRDefault="00280C70" w:rsidP="00F10817">
      <w:pPr>
        <w:jc w:val="both"/>
      </w:pPr>
      <w:r>
        <w:t xml:space="preserve">Le projet de décompte </w:t>
      </w:r>
      <w:r w:rsidR="00922E63">
        <w:t>« </w:t>
      </w:r>
      <w:r>
        <w:t>GEMME</w:t>
      </w:r>
      <w:r w:rsidR="00922E63">
        <w:t xml:space="preserve"> », selon le fichier tableur remis par le représentant de l’acheteur en début de marché (puis </w:t>
      </w:r>
      <w:r w:rsidR="00F36C02">
        <w:t xml:space="preserve">dans une version mise à jour </w:t>
      </w:r>
      <w:r w:rsidR="00922E63">
        <w:t>après le traitement de chaque décompte mensuel)</w:t>
      </w:r>
      <w:r>
        <w:t xml:space="preserve"> assure </w:t>
      </w:r>
      <w:r w:rsidRPr="00F10817">
        <w:rPr>
          <w:b/>
          <w:bCs/>
        </w:rPr>
        <w:t xml:space="preserve">le calcul </w:t>
      </w:r>
      <w:r w:rsidRPr="00F10817">
        <w:rPr>
          <w:b/>
          <w:bCs/>
          <w:u w:val="single"/>
        </w:rPr>
        <w:t>automatisé</w:t>
      </w:r>
      <w:r w:rsidRPr="00F10817">
        <w:rPr>
          <w:b/>
          <w:bCs/>
        </w:rPr>
        <w:t xml:space="preserve"> du montant global des prestations</w:t>
      </w:r>
      <w:r>
        <w:t xml:space="preserve"> à rémunérer au titulaire ou au groupement</w:t>
      </w:r>
      <w:r w:rsidR="00922E63">
        <w:t>, au titre du décompte</w:t>
      </w:r>
      <w:r w:rsidR="00F10817">
        <w:t xml:space="preserve"> mensuel</w:t>
      </w:r>
      <w:r w:rsidR="00922E63">
        <w:t xml:space="preserve"> </w:t>
      </w:r>
      <w:r w:rsidR="00F10817">
        <w:t>concerné</w:t>
      </w:r>
      <w:r w:rsidR="00922E63">
        <w:t>.</w:t>
      </w:r>
    </w:p>
    <w:p w14:paraId="303AD1E9" w14:textId="77777777" w:rsidR="00F10817" w:rsidRDefault="00280C70" w:rsidP="00F10817">
      <w:pPr>
        <w:spacing w:after="0"/>
      </w:pPr>
      <w:r>
        <w:t xml:space="preserve">Son intégration au progiciel comptable de l’acheteur (GEMME), permet l’édition de l’état d’acompte correspondant, en </w:t>
      </w:r>
      <w:r w:rsidR="00F10817">
        <w:t>établissant, sur la base de l’état des prestations transmis :</w:t>
      </w:r>
    </w:p>
    <w:p w14:paraId="5EA3D45B" w14:textId="77777777" w:rsidR="00F10817" w:rsidRDefault="00280C70" w:rsidP="00F10817">
      <w:pPr>
        <w:pStyle w:val="Paragraphedeliste"/>
        <w:numPr>
          <w:ilvl w:val="0"/>
          <w:numId w:val="2"/>
        </w:numPr>
      </w:pPr>
      <w:proofErr w:type="gramStart"/>
      <w:r>
        <w:t>le</w:t>
      </w:r>
      <w:proofErr w:type="gramEnd"/>
      <w:r>
        <w:t xml:space="preserve"> calcul automatisé de la variation,</w:t>
      </w:r>
    </w:p>
    <w:p w14:paraId="2FCDCC14" w14:textId="77777777" w:rsidR="00F10817" w:rsidRDefault="00280C70" w:rsidP="00F10817">
      <w:pPr>
        <w:pStyle w:val="Paragraphedeliste"/>
        <w:numPr>
          <w:ilvl w:val="0"/>
          <w:numId w:val="2"/>
        </w:numPr>
      </w:pPr>
      <w:proofErr w:type="gramStart"/>
      <w:r>
        <w:t>l</w:t>
      </w:r>
      <w:r w:rsidR="00F10817">
        <w:t>e</w:t>
      </w:r>
      <w:proofErr w:type="gramEnd"/>
      <w:r w:rsidR="00F10817">
        <w:t xml:space="preserve"> calcul des versement et reprise de </w:t>
      </w:r>
      <w:r>
        <w:t>l’avance</w:t>
      </w:r>
      <w:r w:rsidR="00F10817">
        <w:t xml:space="preserve"> éventuel</w:t>
      </w:r>
      <w:r>
        <w:t xml:space="preserve">, </w:t>
      </w:r>
    </w:p>
    <w:p w14:paraId="3BBB7E7D" w14:textId="77777777" w:rsidR="00F10817" w:rsidRDefault="00F10817" w:rsidP="00F10817">
      <w:pPr>
        <w:pStyle w:val="Paragraphedeliste"/>
        <w:numPr>
          <w:ilvl w:val="0"/>
          <w:numId w:val="2"/>
        </w:numPr>
      </w:pPr>
      <w:proofErr w:type="gramStart"/>
      <w:r>
        <w:t>le</w:t>
      </w:r>
      <w:proofErr w:type="gramEnd"/>
      <w:r>
        <w:t xml:space="preserve"> calcul </w:t>
      </w:r>
      <w:r w:rsidR="00280C70">
        <w:t xml:space="preserve">de la TVA, </w:t>
      </w:r>
    </w:p>
    <w:p w14:paraId="00A68FA6" w14:textId="22F0581B" w:rsidR="00280C70" w:rsidRDefault="00280C70" w:rsidP="00F10817">
      <w:pPr>
        <w:pStyle w:val="Paragraphedeliste"/>
        <w:numPr>
          <w:ilvl w:val="0"/>
          <w:numId w:val="2"/>
        </w:numPr>
      </w:pPr>
      <w:proofErr w:type="gramStart"/>
      <w:r>
        <w:t>tout</w:t>
      </w:r>
      <w:proofErr w:type="gramEnd"/>
      <w:r>
        <w:t xml:space="preserve"> autre éléments susceptible d’affecter la somme verser aux différents prestataires.</w:t>
      </w:r>
    </w:p>
    <w:p w14:paraId="40FF0F5A" w14:textId="6081A6A7" w:rsidR="00F10817" w:rsidRDefault="00F10817" w:rsidP="00F10817">
      <w:pPr>
        <w:spacing w:after="0"/>
      </w:pPr>
      <w:r>
        <w:t xml:space="preserve">Afin que les calculs correspondants puissent être effectué et que l’état d’acompte puisse être édité, </w:t>
      </w:r>
      <w:r w:rsidRPr="00F10817">
        <w:rPr>
          <w:b/>
          <w:bCs/>
        </w:rPr>
        <w:t xml:space="preserve">le renseignement </w:t>
      </w:r>
      <w:r w:rsidRPr="00F10817">
        <w:rPr>
          <w:b/>
          <w:bCs/>
          <w:u w:val="single"/>
        </w:rPr>
        <w:t>complet</w:t>
      </w:r>
      <w:r w:rsidRPr="00F10817">
        <w:rPr>
          <w:b/>
          <w:bCs/>
        </w:rPr>
        <w:t xml:space="preserve"> et </w:t>
      </w:r>
      <w:r w:rsidRPr="00F10817">
        <w:rPr>
          <w:b/>
          <w:bCs/>
          <w:u w:val="single"/>
        </w:rPr>
        <w:t>cohérent</w:t>
      </w:r>
      <w:r w:rsidRPr="00F10817">
        <w:rPr>
          <w:b/>
          <w:bCs/>
        </w:rPr>
        <w:t xml:space="preserve"> du projet de décompte GEMME</w:t>
      </w:r>
      <w:r w:rsidR="00F36C02">
        <w:rPr>
          <w:b/>
          <w:bCs/>
        </w:rPr>
        <w:t xml:space="preserve"> vierge</w:t>
      </w:r>
      <w:r w:rsidRPr="00F10817">
        <w:rPr>
          <w:b/>
          <w:bCs/>
        </w:rPr>
        <w:t xml:space="preserve"> remis par l’acheteur est un impératif absolu</w:t>
      </w:r>
      <w:r>
        <w:t>, étant précisé que :</w:t>
      </w:r>
    </w:p>
    <w:p w14:paraId="7DFBD96A" w14:textId="3DF2DD0A" w:rsidR="00F10817" w:rsidRDefault="00F10817" w:rsidP="00F10817">
      <w:pPr>
        <w:pStyle w:val="Paragraphedeliste"/>
        <w:numPr>
          <w:ilvl w:val="0"/>
          <w:numId w:val="3"/>
        </w:numPr>
      </w:pPr>
      <w:r>
        <w:t>L’initiative du renseignement du projet décompte et sa remise appartient au représentant du titulaire (ou mandataire du groupement)</w:t>
      </w:r>
    </w:p>
    <w:p w14:paraId="5C65C3D6" w14:textId="16CB620E" w:rsidR="00F10817" w:rsidRDefault="00F10817" w:rsidP="00F10817">
      <w:pPr>
        <w:pStyle w:val="Paragraphedeliste"/>
        <w:numPr>
          <w:ilvl w:val="0"/>
          <w:numId w:val="3"/>
        </w:numPr>
        <w:spacing w:after="0"/>
        <w:ind w:left="714" w:hanging="357"/>
      </w:pPr>
      <w:r>
        <w:t>Le contrôle du projet de décompte remis par le titulaire, et sa correction ou rejet éventuels, relèvent de la responsabilité du maître d’œuvre.</w:t>
      </w:r>
    </w:p>
    <w:p w14:paraId="1D8F5921" w14:textId="495BA8C1" w:rsidR="00280C70" w:rsidRDefault="00F10817">
      <w:r>
        <w:t xml:space="preserve">Tout défaut de renseignement du projet de décompte ou incohérence dans les informations renseignées annihile la possibilité pour l’acheteur d’établir l’état d’acompte correspondant. </w:t>
      </w:r>
    </w:p>
    <w:p w14:paraId="74181C0B" w14:textId="5BF8D844" w:rsidR="00C81BCB" w:rsidRDefault="00C81BCB">
      <w:r>
        <w:t xml:space="preserve">En cas de marché à tranche, </w:t>
      </w:r>
      <w:r w:rsidRPr="00C81BCB">
        <w:rPr>
          <w:b/>
          <w:bCs/>
        </w:rPr>
        <w:t>il est remis un projet de décompte pour chaque tranche</w:t>
      </w:r>
      <w:r>
        <w:t>.</w:t>
      </w:r>
    </w:p>
    <w:p w14:paraId="76B5BF0F" w14:textId="77777777" w:rsidR="00C81BCB" w:rsidRPr="00066EF9" w:rsidRDefault="00C81BCB">
      <w:pPr>
        <w:rPr>
          <w:sz w:val="12"/>
          <w:szCs w:val="12"/>
        </w:rPr>
      </w:pPr>
    </w:p>
    <w:p w14:paraId="28E4CC03" w14:textId="7AF77FE7" w:rsidR="00545D3E" w:rsidRPr="00066EF9" w:rsidRDefault="00F10817" w:rsidP="00066EF9">
      <w:pPr>
        <w:jc w:val="both"/>
        <w:rPr>
          <w:b/>
          <w:bCs/>
        </w:rPr>
      </w:pPr>
      <w:r w:rsidRPr="00066EF9">
        <w:rPr>
          <w:b/>
          <w:bCs/>
        </w:rPr>
        <w:t xml:space="preserve">Les éléments ci-après détaillent, au regard de l’exemple type du projet de décompte produit en </w:t>
      </w:r>
      <w:r w:rsidRPr="00066EF9">
        <w:rPr>
          <w:b/>
          <w:bCs/>
          <w:highlight w:val="yellow"/>
        </w:rPr>
        <w:t xml:space="preserve">page </w:t>
      </w:r>
      <w:r w:rsidR="00F36C02" w:rsidRPr="00066EF9">
        <w:rPr>
          <w:b/>
          <w:bCs/>
          <w:highlight w:val="yellow"/>
        </w:rPr>
        <w:t>2</w:t>
      </w:r>
      <w:r w:rsidRPr="00066EF9">
        <w:rPr>
          <w:b/>
          <w:bCs/>
        </w:rPr>
        <w:t>, les informations à renseigner sur le dit projet de décompte « GEMME »</w:t>
      </w:r>
      <w:r w:rsidR="00F36C02" w:rsidRPr="00066EF9">
        <w:rPr>
          <w:b/>
          <w:bCs/>
        </w:rPr>
        <w:t xml:space="preserve"> vierge</w:t>
      </w:r>
      <w:r w:rsidRPr="00066EF9">
        <w:rPr>
          <w:b/>
          <w:bCs/>
        </w:rPr>
        <w:t>, a</w:t>
      </w:r>
      <w:r w:rsidR="00545D3E" w:rsidRPr="00066EF9">
        <w:rPr>
          <w:b/>
          <w:bCs/>
        </w:rPr>
        <w:t xml:space="preserve">insi que les contrôles de cohérences et vérifications à apporter. </w:t>
      </w:r>
    </w:p>
    <w:p w14:paraId="3BF03612" w14:textId="3E2B931F" w:rsidR="00466734" w:rsidRDefault="00C81BCB" w:rsidP="00066EF9">
      <w:pPr>
        <w:jc w:val="both"/>
      </w:pPr>
      <w:r>
        <w:t>Toute incohérence correspondant à une situation définie dans le présent document entraine son irrecevabilité.</w:t>
      </w:r>
    </w:p>
    <w:p w14:paraId="6D3198CE" w14:textId="4C4DBDF1" w:rsidR="00466734" w:rsidRDefault="00466734"/>
    <w:p w14:paraId="3CFBDB12" w14:textId="7805C9FF" w:rsidR="00466734" w:rsidRDefault="002B576F">
      <w:r w:rsidRPr="00466734">
        <w:rPr>
          <w:noProof/>
        </w:rPr>
        <w:lastRenderedPageBreak/>
        <w:drawing>
          <wp:anchor distT="0" distB="0" distL="114300" distR="114300" simplePos="0" relativeHeight="251658240" behindDoc="0" locked="0" layoutInCell="1" allowOverlap="1" wp14:anchorId="7E9292C0" wp14:editId="00DFDD1E">
            <wp:simplePos x="0" y="0"/>
            <wp:positionH relativeFrom="column">
              <wp:posOffset>22860</wp:posOffset>
            </wp:positionH>
            <wp:positionV relativeFrom="paragraph">
              <wp:posOffset>-75565</wp:posOffset>
            </wp:positionV>
            <wp:extent cx="9878791" cy="6697980"/>
            <wp:effectExtent l="0" t="0" r="8255"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878791" cy="6697980"/>
                    </a:xfrm>
                    <a:prstGeom prst="rect">
                      <a:avLst/>
                    </a:prstGeom>
                  </pic:spPr>
                </pic:pic>
              </a:graphicData>
            </a:graphic>
            <wp14:sizeRelH relativeFrom="margin">
              <wp14:pctWidth>0</wp14:pctWidth>
            </wp14:sizeRelH>
            <wp14:sizeRelV relativeFrom="margin">
              <wp14:pctHeight>0</wp14:pctHeight>
            </wp14:sizeRelV>
          </wp:anchor>
        </w:drawing>
      </w:r>
    </w:p>
    <w:p w14:paraId="7308EBA9" w14:textId="54A0DC69" w:rsidR="00466734" w:rsidRDefault="00466734"/>
    <w:p w14:paraId="2572FD9A" w14:textId="1F7CCF58" w:rsidR="00466734" w:rsidRDefault="00466734">
      <w:r>
        <w:br w:type="page"/>
      </w:r>
    </w:p>
    <w:p w14:paraId="122B2283" w14:textId="77777777" w:rsidR="00F36C02" w:rsidRDefault="00F36C02"/>
    <w:tbl>
      <w:tblPr>
        <w:tblStyle w:val="Grilledutableau"/>
        <w:tblW w:w="0" w:type="auto"/>
        <w:jc w:val="center"/>
        <w:tblLook w:val="04A0" w:firstRow="1" w:lastRow="0" w:firstColumn="1" w:lastColumn="0" w:noHBand="0" w:noVBand="1"/>
      </w:tblPr>
      <w:tblGrid>
        <w:gridCol w:w="846"/>
        <w:gridCol w:w="6520"/>
        <w:gridCol w:w="7194"/>
      </w:tblGrid>
      <w:tr w:rsidR="00E60572" w14:paraId="7D1AF477" w14:textId="77777777" w:rsidTr="004B0437">
        <w:trPr>
          <w:trHeight w:val="557"/>
          <w:jc w:val="center"/>
        </w:trPr>
        <w:tc>
          <w:tcPr>
            <w:tcW w:w="846" w:type="dxa"/>
            <w:shd w:val="clear" w:color="auto" w:fill="FFF2CC" w:themeFill="accent4" w:themeFillTint="33"/>
            <w:vAlign w:val="center"/>
          </w:tcPr>
          <w:p w14:paraId="68FEF339" w14:textId="142F62B7" w:rsidR="00E60572" w:rsidRPr="00545D3E" w:rsidRDefault="00E60572" w:rsidP="00545D3E">
            <w:pPr>
              <w:jc w:val="center"/>
              <w:rPr>
                <w:b/>
                <w:bCs/>
              </w:rPr>
            </w:pPr>
          </w:p>
        </w:tc>
        <w:tc>
          <w:tcPr>
            <w:tcW w:w="6520" w:type="dxa"/>
            <w:shd w:val="clear" w:color="auto" w:fill="FFF2CC" w:themeFill="accent4" w:themeFillTint="33"/>
            <w:vAlign w:val="center"/>
          </w:tcPr>
          <w:p w14:paraId="17C5C7DF" w14:textId="38B1162C" w:rsidR="00E60572" w:rsidRPr="00545D3E" w:rsidRDefault="00E60572" w:rsidP="00545D3E">
            <w:pPr>
              <w:jc w:val="center"/>
              <w:rPr>
                <w:b/>
                <w:bCs/>
              </w:rPr>
            </w:pPr>
            <w:r w:rsidRPr="00545D3E">
              <w:rPr>
                <w:b/>
                <w:bCs/>
              </w:rPr>
              <w:t>Donnée à renseigner</w:t>
            </w:r>
          </w:p>
        </w:tc>
        <w:tc>
          <w:tcPr>
            <w:tcW w:w="7194" w:type="dxa"/>
            <w:shd w:val="clear" w:color="auto" w:fill="FFF2CC" w:themeFill="accent4" w:themeFillTint="33"/>
            <w:vAlign w:val="center"/>
          </w:tcPr>
          <w:p w14:paraId="19917AA6" w14:textId="53C07661" w:rsidR="00E60572" w:rsidRPr="00545D3E" w:rsidRDefault="00E60572" w:rsidP="00545D3E">
            <w:pPr>
              <w:jc w:val="center"/>
              <w:rPr>
                <w:b/>
                <w:bCs/>
              </w:rPr>
            </w:pPr>
            <w:r w:rsidRPr="00545D3E">
              <w:rPr>
                <w:b/>
                <w:bCs/>
              </w:rPr>
              <w:t>Information complémentaire / Contrôle vérification à apporter</w:t>
            </w:r>
          </w:p>
        </w:tc>
      </w:tr>
      <w:tr w:rsidR="00E60572" w14:paraId="626F1715" w14:textId="77777777" w:rsidTr="007F344B">
        <w:trPr>
          <w:cantSplit/>
          <w:trHeight w:val="2972"/>
          <w:jc w:val="center"/>
        </w:trPr>
        <w:tc>
          <w:tcPr>
            <w:tcW w:w="846" w:type="dxa"/>
            <w:vAlign w:val="center"/>
          </w:tcPr>
          <w:p w14:paraId="0E2161FC" w14:textId="0F1A79F9" w:rsidR="00E60572" w:rsidRPr="00421168" w:rsidRDefault="00545D3E" w:rsidP="00421168">
            <w:pPr>
              <w:jc w:val="center"/>
            </w:pPr>
            <w:r w:rsidRPr="00421168">
              <w:t>1</w:t>
            </w:r>
          </w:p>
        </w:tc>
        <w:tc>
          <w:tcPr>
            <w:tcW w:w="6520" w:type="dxa"/>
            <w:vAlign w:val="center"/>
          </w:tcPr>
          <w:p w14:paraId="77459438" w14:textId="32DF24D9" w:rsidR="006737E3" w:rsidRDefault="006737E3">
            <w:pPr>
              <w:rPr>
                <w:i/>
                <w:iCs/>
              </w:rPr>
            </w:pPr>
            <w:r w:rsidRPr="006737E3">
              <w:rPr>
                <w:i/>
                <w:iCs/>
              </w:rPr>
              <w:t>« Prestations effectuées au</w:t>
            </w:r>
            <w:r>
              <w:rPr>
                <w:i/>
                <w:iCs/>
              </w:rPr>
              <w:t xml:space="preserve"> …………………………</w:t>
            </w:r>
            <w:r w:rsidRPr="006737E3">
              <w:rPr>
                <w:i/>
                <w:iCs/>
              </w:rPr>
              <w:t xml:space="preserve"> » </w:t>
            </w:r>
          </w:p>
          <w:p w14:paraId="51DAB1BA" w14:textId="77777777" w:rsidR="006737E3" w:rsidRPr="006737E3" w:rsidRDefault="006737E3">
            <w:pPr>
              <w:rPr>
                <w:i/>
                <w:iCs/>
                <w:sz w:val="12"/>
                <w:szCs w:val="12"/>
              </w:rPr>
            </w:pPr>
          </w:p>
          <w:p w14:paraId="31B8B1A0" w14:textId="4E055082" w:rsidR="00E60572" w:rsidRDefault="00191D62" w:rsidP="00191D62">
            <w:r>
              <w:t>Renseigner la d</w:t>
            </w:r>
            <w:r w:rsidR="00545D3E">
              <w:t>ate de référence pour l’achèvement des prestations objet du projet décompte correspondant (</w:t>
            </w:r>
            <w:r>
              <w:t>u</w:t>
            </w:r>
            <w:r w:rsidR="003A37D0">
              <w:t>suellement</w:t>
            </w:r>
            <w:r w:rsidR="00545D3E">
              <w:t xml:space="preserve"> le dernier jour du mois considéré</w:t>
            </w:r>
            <w:r w:rsidR="002961B0">
              <w:t xml:space="preserve"> </w:t>
            </w:r>
            <w:r w:rsidR="00421168">
              <w:t>-</w:t>
            </w:r>
            <w:r w:rsidR="002961B0">
              <w:t>sauf dernier décompte du marché</w:t>
            </w:r>
            <w:r w:rsidR="00421168">
              <w:t>-</w:t>
            </w:r>
            <w:r w:rsidR="00545D3E">
              <w:t>)</w:t>
            </w:r>
          </w:p>
        </w:tc>
        <w:tc>
          <w:tcPr>
            <w:tcW w:w="7194" w:type="dxa"/>
            <w:vAlign w:val="center"/>
          </w:tcPr>
          <w:p w14:paraId="6A57128A" w14:textId="38286644" w:rsidR="00E60572" w:rsidRPr="00191D62" w:rsidRDefault="00545D3E" w:rsidP="00545D3E">
            <w:pPr>
              <w:rPr>
                <w:sz w:val="20"/>
                <w:szCs w:val="20"/>
              </w:rPr>
            </w:pPr>
            <w:r w:rsidRPr="00191D62">
              <w:rPr>
                <w:sz w:val="20"/>
                <w:szCs w:val="20"/>
              </w:rPr>
              <w:t xml:space="preserve">- Le mois concerné </w:t>
            </w:r>
            <w:r w:rsidR="00E44256" w:rsidRPr="00191D62">
              <w:rPr>
                <w:sz w:val="20"/>
                <w:szCs w:val="20"/>
              </w:rPr>
              <w:t>constituera</w:t>
            </w:r>
            <w:r w:rsidRPr="00191D62">
              <w:rPr>
                <w:sz w:val="20"/>
                <w:szCs w:val="20"/>
              </w:rPr>
              <w:t xml:space="preserve"> le mois « m » de référence pour le calcul de la variation des prix</w:t>
            </w:r>
            <w:r w:rsidR="00191D62" w:rsidRPr="00191D62">
              <w:rPr>
                <w:sz w:val="20"/>
                <w:szCs w:val="20"/>
              </w:rPr>
              <w:t xml:space="preserve"> (y compris en cas de cumul de prestation réalisées sur des mois antérieures).</w:t>
            </w:r>
          </w:p>
          <w:p w14:paraId="00E805AA" w14:textId="1BD638F9" w:rsidR="00191D62" w:rsidRPr="00191D62" w:rsidRDefault="00191D62" w:rsidP="00545D3E">
            <w:pPr>
              <w:rPr>
                <w:sz w:val="20"/>
                <w:szCs w:val="20"/>
              </w:rPr>
            </w:pPr>
            <w:r w:rsidRPr="00191D62">
              <w:rPr>
                <w:sz w:val="20"/>
                <w:szCs w:val="20"/>
              </w:rPr>
              <w:t>- Le maître d’œuvre vérifie par conséquent le caractère cohérent des prestations valorisée pour le mois avec les prestations exécutées pour éviter tout décalage dans l’index de variation appliqué aux prestations concernées.</w:t>
            </w:r>
          </w:p>
          <w:p w14:paraId="421E9B72" w14:textId="0B12B5E1" w:rsidR="00545D3E" w:rsidRPr="00191D62" w:rsidRDefault="00545D3E" w:rsidP="00545D3E">
            <w:pPr>
              <w:rPr>
                <w:sz w:val="20"/>
                <w:szCs w:val="20"/>
              </w:rPr>
            </w:pPr>
            <w:r w:rsidRPr="00191D62">
              <w:rPr>
                <w:sz w:val="20"/>
                <w:szCs w:val="20"/>
              </w:rPr>
              <w:t>- Pour un projet de décompte n° X, la date de réalisation des prestations ne peut en aucun cas être antérieur à celle des prestations objet du projet de décompte n° X-1.</w:t>
            </w:r>
          </w:p>
          <w:p w14:paraId="15831FFE" w14:textId="0CCB42E8" w:rsidR="00191D62" w:rsidRPr="00191D62" w:rsidRDefault="00545D3E" w:rsidP="00545D3E">
            <w:pPr>
              <w:rPr>
                <w:sz w:val="20"/>
                <w:szCs w:val="20"/>
              </w:rPr>
            </w:pPr>
            <w:r w:rsidRPr="00191D62">
              <w:rPr>
                <w:sz w:val="20"/>
                <w:szCs w:val="20"/>
              </w:rPr>
              <w:t xml:space="preserve">- </w:t>
            </w:r>
            <w:r w:rsidR="00E44256" w:rsidRPr="00191D62">
              <w:rPr>
                <w:sz w:val="20"/>
                <w:szCs w:val="20"/>
              </w:rPr>
              <w:t xml:space="preserve">La date de réalisation des prestations ne peut en aucun cas être </w:t>
            </w:r>
            <w:r w:rsidR="00E44256" w:rsidRPr="00191D62">
              <w:rPr>
                <w:b/>
                <w:bCs/>
                <w:sz w:val="20"/>
                <w:szCs w:val="20"/>
              </w:rPr>
              <w:t xml:space="preserve">postérieure </w:t>
            </w:r>
            <w:r w:rsidR="00E44256" w:rsidRPr="00191D62">
              <w:rPr>
                <w:sz w:val="20"/>
                <w:szCs w:val="20"/>
              </w:rPr>
              <w:t>à la date d’achèvement théorique (délai du marché) des prestations objet du marché ou de la tranche concernée</w:t>
            </w:r>
          </w:p>
        </w:tc>
      </w:tr>
      <w:tr w:rsidR="00E60572" w14:paraId="05A777E5" w14:textId="77777777" w:rsidTr="006F315A">
        <w:trPr>
          <w:trHeight w:val="1724"/>
          <w:jc w:val="center"/>
        </w:trPr>
        <w:tc>
          <w:tcPr>
            <w:tcW w:w="846" w:type="dxa"/>
            <w:shd w:val="clear" w:color="auto" w:fill="D9D9D9" w:themeFill="background1" w:themeFillShade="D9"/>
            <w:vAlign w:val="center"/>
          </w:tcPr>
          <w:p w14:paraId="5AD5693A" w14:textId="53F1483C" w:rsidR="00E60572" w:rsidRPr="00421168" w:rsidRDefault="003A37D0" w:rsidP="00421168">
            <w:pPr>
              <w:jc w:val="center"/>
            </w:pPr>
            <w:r w:rsidRPr="00421168">
              <w:t>2</w:t>
            </w:r>
          </w:p>
        </w:tc>
        <w:tc>
          <w:tcPr>
            <w:tcW w:w="6520" w:type="dxa"/>
            <w:shd w:val="clear" w:color="auto" w:fill="D9D9D9" w:themeFill="background1" w:themeFillShade="D9"/>
            <w:vAlign w:val="center"/>
          </w:tcPr>
          <w:p w14:paraId="73A31B72" w14:textId="69D468F8" w:rsidR="006737E3" w:rsidRPr="006737E3" w:rsidRDefault="001235B4">
            <w:pPr>
              <w:rPr>
                <w:i/>
                <w:iCs/>
              </w:rPr>
            </w:pPr>
            <w:r w:rsidRPr="006737E3">
              <w:rPr>
                <w:i/>
                <w:iCs/>
              </w:rPr>
              <w:t>« Montant HT de la situation »</w:t>
            </w:r>
          </w:p>
          <w:p w14:paraId="50E5E1AE" w14:textId="14CBD75C" w:rsidR="00421168" w:rsidRDefault="00421168">
            <w:pPr>
              <w:rPr>
                <w:b/>
                <w:bCs/>
              </w:rPr>
            </w:pPr>
            <w:r w:rsidRPr="00421168">
              <w:rPr>
                <w:b/>
                <w:bCs/>
              </w:rPr>
              <w:t>D</w:t>
            </w:r>
            <w:r>
              <w:rPr>
                <w:b/>
                <w:bCs/>
              </w:rPr>
              <w:t>ONNEE</w:t>
            </w:r>
            <w:r w:rsidRPr="00421168">
              <w:rPr>
                <w:b/>
                <w:bCs/>
              </w:rPr>
              <w:t xml:space="preserve"> </w:t>
            </w:r>
            <w:r>
              <w:rPr>
                <w:b/>
                <w:bCs/>
              </w:rPr>
              <w:t>GENEREE</w:t>
            </w:r>
            <w:r w:rsidRPr="00421168">
              <w:rPr>
                <w:b/>
                <w:bCs/>
              </w:rPr>
              <w:t xml:space="preserve"> AUTOMATIQUEMENT – NE PAS MODIFIER</w:t>
            </w:r>
          </w:p>
          <w:p w14:paraId="6B11A9A7" w14:textId="77777777" w:rsidR="006737E3" w:rsidRPr="006737E3" w:rsidRDefault="006737E3">
            <w:pPr>
              <w:rPr>
                <w:b/>
                <w:bCs/>
                <w:sz w:val="12"/>
                <w:szCs w:val="12"/>
              </w:rPr>
            </w:pPr>
          </w:p>
          <w:p w14:paraId="4832C5CA" w14:textId="4D5855F1" w:rsidR="00E60572" w:rsidRDefault="003A37D0">
            <w:r>
              <w:t>Le montant HT de la situation est calculé automatiquement par l’alimentation des colonnes « Quantité mesurée du décompte » (4) et « quantité estimée cumulée » (5)</w:t>
            </w:r>
          </w:p>
        </w:tc>
        <w:tc>
          <w:tcPr>
            <w:tcW w:w="7194" w:type="dxa"/>
            <w:shd w:val="clear" w:color="auto" w:fill="D9D9D9" w:themeFill="background1" w:themeFillShade="D9"/>
            <w:vAlign w:val="center"/>
          </w:tcPr>
          <w:p w14:paraId="53A7F6BF" w14:textId="508A4190" w:rsidR="00E60572" w:rsidRPr="00191D62" w:rsidRDefault="00060407">
            <w:pPr>
              <w:rPr>
                <w:b/>
                <w:bCs/>
                <w:sz w:val="20"/>
                <w:szCs w:val="20"/>
              </w:rPr>
            </w:pPr>
            <w:r w:rsidRPr="00191D62">
              <w:rPr>
                <w:b/>
                <w:bCs/>
                <w:sz w:val="20"/>
                <w:szCs w:val="20"/>
              </w:rPr>
              <w:t xml:space="preserve">La valeur calculée </w:t>
            </w:r>
            <w:r w:rsidR="001B3118">
              <w:rPr>
                <w:b/>
                <w:bCs/>
                <w:sz w:val="20"/>
                <w:szCs w:val="20"/>
              </w:rPr>
              <w:t xml:space="preserve">par le fichier tableur </w:t>
            </w:r>
            <w:r w:rsidRPr="00191D62">
              <w:rPr>
                <w:b/>
                <w:bCs/>
                <w:sz w:val="20"/>
                <w:szCs w:val="20"/>
              </w:rPr>
              <w:t>ne doit en aucun cas être modifiée.</w:t>
            </w:r>
          </w:p>
          <w:p w14:paraId="5EDAA98D" w14:textId="35B49B67" w:rsidR="00060407" w:rsidRPr="00191D62" w:rsidRDefault="00060407">
            <w:pPr>
              <w:rPr>
                <w:sz w:val="20"/>
                <w:szCs w:val="20"/>
              </w:rPr>
            </w:pPr>
            <w:r w:rsidRPr="00191D62">
              <w:rPr>
                <w:sz w:val="20"/>
                <w:szCs w:val="20"/>
              </w:rPr>
              <w:t xml:space="preserve">Si le montant calculé ne correspond pas au montant de prestation calculé au moyen des document internes, les erreurs sont à rechercher dans les informations saisies dans le renseignement des </w:t>
            </w:r>
            <w:r w:rsidRPr="00191D62">
              <w:rPr>
                <w:b/>
                <w:bCs/>
                <w:sz w:val="20"/>
                <w:szCs w:val="20"/>
              </w:rPr>
              <w:t>« Quantité mesurée du décompte » (4)</w:t>
            </w:r>
            <w:r w:rsidRPr="00191D62">
              <w:rPr>
                <w:sz w:val="20"/>
                <w:szCs w:val="20"/>
              </w:rPr>
              <w:t xml:space="preserve"> et « </w:t>
            </w:r>
            <w:r w:rsidRPr="00191D62">
              <w:rPr>
                <w:b/>
                <w:bCs/>
                <w:sz w:val="20"/>
                <w:szCs w:val="20"/>
              </w:rPr>
              <w:t>Quantité estimée cumulée » (5)</w:t>
            </w:r>
          </w:p>
        </w:tc>
      </w:tr>
      <w:tr w:rsidR="00E60572" w14:paraId="5B6BB319" w14:textId="77777777" w:rsidTr="006F315A">
        <w:trPr>
          <w:trHeight w:val="1267"/>
          <w:jc w:val="center"/>
        </w:trPr>
        <w:tc>
          <w:tcPr>
            <w:tcW w:w="846" w:type="dxa"/>
            <w:vAlign w:val="center"/>
          </w:tcPr>
          <w:p w14:paraId="04AF2E5D" w14:textId="485D8922" w:rsidR="00E60572" w:rsidRPr="00421168" w:rsidRDefault="003A37D0" w:rsidP="00421168">
            <w:pPr>
              <w:jc w:val="center"/>
            </w:pPr>
            <w:r w:rsidRPr="00421168">
              <w:t>3</w:t>
            </w:r>
          </w:p>
        </w:tc>
        <w:tc>
          <w:tcPr>
            <w:tcW w:w="6520" w:type="dxa"/>
            <w:vAlign w:val="center"/>
          </w:tcPr>
          <w:p w14:paraId="0B4CD643" w14:textId="4DF99E72" w:rsidR="006737E3" w:rsidRPr="006737E3" w:rsidRDefault="006737E3">
            <w:pPr>
              <w:rPr>
                <w:i/>
                <w:iCs/>
              </w:rPr>
            </w:pPr>
            <w:r w:rsidRPr="006737E3">
              <w:rPr>
                <w:i/>
                <w:iCs/>
              </w:rPr>
              <w:t>« Final : « Non / Oui »</w:t>
            </w:r>
          </w:p>
          <w:p w14:paraId="17C2FC19" w14:textId="77777777" w:rsidR="006737E3" w:rsidRPr="006737E3" w:rsidRDefault="006737E3">
            <w:pPr>
              <w:rPr>
                <w:sz w:val="12"/>
                <w:szCs w:val="12"/>
              </w:rPr>
            </w:pPr>
          </w:p>
          <w:p w14:paraId="4F9252AB" w14:textId="1DC488DB" w:rsidR="00E60572" w:rsidRDefault="00060407">
            <w:r>
              <w:t xml:space="preserve">Si le projet de décompte constitue le projet de décompte final, basculer le champ de la cellule sur « Oui » </w:t>
            </w:r>
          </w:p>
        </w:tc>
        <w:tc>
          <w:tcPr>
            <w:tcW w:w="7194" w:type="dxa"/>
            <w:vAlign w:val="center"/>
          </w:tcPr>
          <w:p w14:paraId="3B7A3C65" w14:textId="63021018" w:rsidR="00E60572" w:rsidRPr="00191D62" w:rsidRDefault="00060407">
            <w:pPr>
              <w:rPr>
                <w:sz w:val="20"/>
                <w:szCs w:val="20"/>
              </w:rPr>
            </w:pPr>
            <w:r w:rsidRPr="00191D62">
              <w:rPr>
                <w:sz w:val="20"/>
                <w:szCs w:val="20"/>
              </w:rPr>
              <w:t>Par défaut, la cellule est renseignée « Non », indiquant que le projet de décompte ne constitue pas le projet de décompte final</w:t>
            </w:r>
            <w:r w:rsidR="001B3118">
              <w:rPr>
                <w:sz w:val="20"/>
                <w:szCs w:val="20"/>
              </w:rPr>
              <w:t>.</w:t>
            </w:r>
          </w:p>
        </w:tc>
      </w:tr>
      <w:tr w:rsidR="00E60572" w14:paraId="4E512232" w14:textId="77777777" w:rsidTr="007F344B">
        <w:trPr>
          <w:cantSplit/>
          <w:trHeight w:val="1652"/>
          <w:jc w:val="center"/>
        </w:trPr>
        <w:tc>
          <w:tcPr>
            <w:tcW w:w="846" w:type="dxa"/>
            <w:vAlign w:val="center"/>
          </w:tcPr>
          <w:p w14:paraId="4DC2C011" w14:textId="626479A5" w:rsidR="00E60572" w:rsidRPr="00421168" w:rsidRDefault="003A37D0" w:rsidP="00421168">
            <w:pPr>
              <w:jc w:val="center"/>
            </w:pPr>
            <w:r w:rsidRPr="00421168">
              <w:t>4</w:t>
            </w:r>
          </w:p>
        </w:tc>
        <w:tc>
          <w:tcPr>
            <w:tcW w:w="6520" w:type="dxa"/>
            <w:vAlign w:val="center"/>
          </w:tcPr>
          <w:p w14:paraId="12DA6230" w14:textId="7C406835" w:rsidR="00E60572" w:rsidRPr="00191D62" w:rsidRDefault="00421168">
            <w:pPr>
              <w:rPr>
                <w:i/>
                <w:iCs/>
              </w:rPr>
            </w:pPr>
            <w:r w:rsidRPr="00191D62">
              <w:rPr>
                <w:i/>
                <w:iCs/>
              </w:rPr>
              <w:t>« Quantité mesurée du décompte »</w:t>
            </w:r>
          </w:p>
          <w:p w14:paraId="4DEAAF91" w14:textId="3F5E2052" w:rsidR="006737E3" w:rsidRPr="00191D62" w:rsidRDefault="006737E3">
            <w:pPr>
              <w:rPr>
                <w:sz w:val="12"/>
                <w:szCs w:val="12"/>
              </w:rPr>
            </w:pPr>
          </w:p>
          <w:p w14:paraId="434F1AED" w14:textId="1DC19F97" w:rsidR="00421168" w:rsidRDefault="00191D62">
            <w:r>
              <w:t>Pour chaque prix, il est renseigné la quantité exécutée et justifiée par constat depuis le précédent projet de décompte (c’est-à-dire pour le mois d’exécution concerné ou depuis le dernier projet de décompte)</w:t>
            </w:r>
            <w:r w:rsidR="006F315A">
              <w:t>.</w:t>
            </w:r>
          </w:p>
        </w:tc>
        <w:tc>
          <w:tcPr>
            <w:tcW w:w="7194" w:type="dxa"/>
            <w:vAlign w:val="center"/>
          </w:tcPr>
          <w:p w14:paraId="21368376" w14:textId="77777777" w:rsidR="004B0437" w:rsidRPr="004B0437" w:rsidRDefault="004B0437" w:rsidP="00191D62">
            <w:pPr>
              <w:rPr>
                <w:sz w:val="6"/>
                <w:szCs w:val="6"/>
              </w:rPr>
            </w:pPr>
          </w:p>
          <w:p w14:paraId="249D4AC7" w14:textId="0BFA6D0F" w:rsidR="00E60572" w:rsidRDefault="00191D62" w:rsidP="00191D62">
            <w:pPr>
              <w:rPr>
                <w:b/>
                <w:bCs/>
                <w:sz w:val="20"/>
                <w:szCs w:val="20"/>
              </w:rPr>
            </w:pPr>
            <w:r>
              <w:rPr>
                <w:sz w:val="20"/>
                <w:szCs w:val="20"/>
              </w:rPr>
              <w:t>- L</w:t>
            </w:r>
            <w:r w:rsidR="006F315A">
              <w:rPr>
                <w:sz w:val="20"/>
                <w:szCs w:val="20"/>
              </w:rPr>
              <w:t>e fichier génère l’affichage automatique de 3 décimales pour une quantité saisie. L</w:t>
            </w:r>
            <w:r>
              <w:rPr>
                <w:sz w:val="20"/>
                <w:szCs w:val="20"/>
              </w:rPr>
              <w:t xml:space="preserve">es quantités sont renseignées avec </w:t>
            </w:r>
            <w:r w:rsidR="006F315A">
              <w:rPr>
                <w:sz w:val="20"/>
                <w:szCs w:val="20"/>
              </w:rPr>
              <w:t>une précision d’</w:t>
            </w:r>
            <w:r w:rsidRPr="00191D62">
              <w:rPr>
                <w:b/>
                <w:bCs/>
                <w:sz w:val="20"/>
                <w:szCs w:val="20"/>
              </w:rPr>
              <w:t>au plus 2 décimales</w:t>
            </w:r>
            <w:r w:rsidR="006F315A">
              <w:rPr>
                <w:b/>
                <w:bCs/>
                <w:sz w:val="20"/>
                <w:szCs w:val="20"/>
              </w:rPr>
              <w:t xml:space="preserve">. </w:t>
            </w:r>
          </w:p>
          <w:p w14:paraId="65FE180F" w14:textId="6CC25704" w:rsidR="006F315A" w:rsidRDefault="006F315A" w:rsidP="00191D62">
            <w:pPr>
              <w:rPr>
                <w:b/>
                <w:bCs/>
                <w:sz w:val="20"/>
                <w:szCs w:val="20"/>
              </w:rPr>
            </w:pPr>
            <w:r>
              <w:rPr>
                <w:b/>
                <w:bCs/>
                <w:sz w:val="20"/>
                <w:szCs w:val="20"/>
              </w:rPr>
              <w:t xml:space="preserve">- Seules les </w:t>
            </w:r>
            <w:r w:rsidR="001B3118">
              <w:rPr>
                <w:b/>
                <w:bCs/>
                <w:sz w:val="20"/>
                <w:szCs w:val="20"/>
              </w:rPr>
              <w:t>poste de prix</w:t>
            </w:r>
            <w:r>
              <w:rPr>
                <w:b/>
                <w:bCs/>
                <w:sz w:val="20"/>
                <w:szCs w:val="20"/>
              </w:rPr>
              <w:t xml:space="preserve"> effectivement concerné</w:t>
            </w:r>
            <w:r w:rsidR="001B3118">
              <w:rPr>
                <w:b/>
                <w:bCs/>
                <w:sz w:val="20"/>
                <w:szCs w:val="20"/>
              </w:rPr>
              <w:t>s</w:t>
            </w:r>
            <w:r>
              <w:rPr>
                <w:b/>
                <w:bCs/>
                <w:sz w:val="20"/>
                <w:szCs w:val="20"/>
              </w:rPr>
              <w:t xml:space="preserve"> par la réalisation des prestations sont renseignées</w:t>
            </w:r>
          </w:p>
          <w:p w14:paraId="320FCAEE" w14:textId="058F505A" w:rsidR="006F315A" w:rsidRPr="006F315A" w:rsidRDefault="006F315A" w:rsidP="00191D62">
            <w:pPr>
              <w:rPr>
                <w:sz w:val="20"/>
                <w:szCs w:val="20"/>
              </w:rPr>
            </w:pPr>
            <w:r w:rsidRPr="006F315A">
              <w:rPr>
                <w:sz w:val="20"/>
                <w:szCs w:val="20"/>
              </w:rPr>
              <w:t xml:space="preserve">- Les quantités renseignées sont dûment justifiées par un constat produit à l’appui du projet de décompte. La quantité figurant sur le projet de décompte pour le prix concerné est identique à la quantité certifiée par constat. </w:t>
            </w:r>
          </w:p>
          <w:p w14:paraId="08B4A551" w14:textId="77777777" w:rsidR="004B0437" w:rsidRDefault="006F315A" w:rsidP="00191D62">
            <w:pPr>
              <w:rPr>
                <w:sz w:val="20"/>
                <w:szCs w:val="20"/>
              </w:rPr>
            </w:pPr>
            <w:r>
              <w:rPr>
                <w:sz w:val="20"/>
                <w:szCs w:val="20"/>
              </w:rPr>
              <w:t>- La somme des « quantités mesurées du décompte » (4) et des « prestations mesurées antérieures » (11) est égale au cumul des prestations réalisées à la date d’établissement du projet de décompte.</w:t>
            </w:r>
          </w:p>
          <w:p w14:paraId="4CC8CC44" w14:textId="435E0362" w:rsidR="004B0437" w:rsidRPr="004B0437" w:rsidRDefault="004B0437" w:rsidP="00191D62">
            <w:pPr>
              <w:rPr>
                <w:sz w:val="6"/>
                <w:szCs w:val="6"/>
              </w:rPr>
            </w:pPr>
          </w:p>
        </w:tc>
      </w:tr>
      <w:tr w:rsidR="003A37D0" w14:paraId="210F0FA6" w14:textId="77777777" w:rsidTr="002B576F">
        <w:trPr>
          <w:trHeight w:val="3393"/>
          <w:jc w:val="center"/>
        </w:trPr>
        <w:tc>
          <w:tcPr>
            <w:tcW w:w="846" w:type="dxa"/>
            <w:vAlign w:val="center"/>
          </w:tcPr>
          <w:p w14:paraId="4677E14F" w14:textId="439B93DF" w:rsidR="003A37D0" w:rsidRPr="00421168" w:rsidRDefault="003A37D0" w:rsidP="00421168">
            <w:pPr>
              <w:jc w:val="center"/>
            </w:pPr>
            <w:r w:rsidRPr="00421168">
              <w:lastRenderedPageBreak/>
              <w:t>5</w:t>
            </w:r>
          </w:p>
        </w:tc>
        <w:tc>
          <w:tcPr>
            <w:tcW w:w="6520" w:type="dxa"/>
            <w:vAlign w:val="center"/>
          </w:tcPr>
          <w:p w14:paraId="0D688DC9" w14:textId="28E0A63F" w:rsidR="003A37D0" w:rsidRDefault="00421168">
            <w:pPr>
              <w:rPr>
                <w:i/>
                <w:iCs/>
              </w:rPr>
            </w:pPr>
            <w:r w:rsidRPr="006F315A">
              <w:rPr>
                <w:i/>
                <w:iCs/>
              </w:rPr>
              <w:t>« Quantité estimée cumulée »</w:t>
            </w:r>
          </w:p>
          <w:p w14:paraId="4D568BC3" w14:textId="0C3C9F9E" w:rsidR="006F315A" w:rsidRPr="006F315A" w:rsidRDefault="006F315A">
            <w:pPr>
              <w:rPr>
                <w:i/>
                <w:iCs/>
                <w:sz w:val="12"/>
                <w:szCs w:val="12"/>
              </w:rPr>
            </w:pPr>
          </w:p>
          <w:p w14:paraId="0CC439D5" w14:textId="5EEB5427" w:rsidR="006F315A" w:rsidRPr="006F315A" w:rsidRDefault="006F315A">
            <w:pPr>
              <w:rPr>
                <w:i/>
                <w:iCs/>
              </w:rPr>
            </w:pPr>
            <w:r>
              <w:t>Pour chaque prix, il est renseigné la quantité exécutée et justifiée par constat depuis le précédent projet de décompte (c’est-à-dire pour le mois d’exécution concerné ou depuis le dernier projet de décompte).</w:t>
            </w:r>
          </w:p>
          <w:p w14:paraId="27110DB7" w14:textId="77777777" w:rsidR="00421168" w:rsidRDefault="00421168"/>
          <w:p w14:paraId="65EA6330" w14:textId="77777777" w:rsidR="006737E3" w:rsidRDefault="006737E3"/>
          <w:p w14:paraId="000B6C92" w14:textId="5447EA0A" w:rsidR="006737E3" w:rsidRDefault="006737E3"/>
        </w:tc>
        <w:tc>
          <w:tcPr>
            <w:tcW w:w="7194" w:type="dxa"/>
            <w:vAlign w:val="center"/>
          </w:tcPr>
          <w:p w14:paraId="07C85977" w14:textId="0027DC0E" w:rsidR="003A37D0" w:rsidRPr="00F36C02" w:rsidRDefault="001B3118" w:rsidP="001B3118">
            <w:pPr>
              <w:rPr>
                <w:sz w:val="20"/>
                <w:szCs w:val="20"/>
              </w:rPr>
            </w:pPr>
            <w:r w:rsidRPr="00F36C02">
              <w:rPr>
                <w:sz w:val="20"/>
                <w:szCs w:val="20"/>
              </w:rPr>
              <w:t>- Le recours à la valorisation de quantité estimée doit, autant que possible être limitée en volume est dans la temporalité.</w:t>
            </w:r>
          </w:p>
          <w:p w14:paraId="306697E3" w14:textId="0F443DEA" w:rsidR="001B3118" w:rsidRPr="00F36C02" w:rsidRDefault="001B3118" w:rsidP="001B3118">
            <w:pPr>
              <w:rPr>
                <w:sz w:val="20"/>
                <w:szCs w:val="20"/>
              </w:rPr>
            </w:pPr>
            <w:r w:rsidRPr="00F36C02">
              <w:rPr>
                <w:sz w:val="20"/>
                <w:szCs w:val="20"/>
              </w:rPr>
              <w:t>- </w:t>
            </w:r>
            <w:r w:rsidRPr="00F36C02">
              <w:rPr>
                <w:b/>
                <w:bCs/>
                <w:sz w:val="20"/>
                <w:szCs w:val="20"/>
              </w:rPr>
              <w:t xml:space="preserve">Lorsqu’une quantité « estimée » bascule en quantité « constatée » : la quantité estimée justifiée par constat est reportée dans la colonne « quantités mesurées du décompte » (4). </w:t>
            </w:r>
            <w:r w:rsidRPr="00F36C02">
              <w:rPr>
                <w:b/>
                <w:bCs/>
                <w:sz w:val="20"/>
                <w:szCs w:val="20"/>
                <w:u w:val="single"/>
              </w:rPr>
              <w:t>La colonne « Quantité estimée cumulée » est alors impérativement renseignée avec la valeur « 0 »</w:t>
            </w:r>
            <w:r w:rsidRPr="00F36C02">
              <w:rPr>
                <w:sz w:val="20"/>
                <w:szCs w:val="20"/>
              </w:rPr>
              <w:t xml:space="preserve"> (ou est ajustée à la quantité « estimée » restante, c’est-à-dire la quantité estimée initiale diminuée des prestations constatée</w:t>
            </w:r>
            <w:r w:rsidR="00F36C02" w:rsidRPr="00F36C02">
              <w:rPr>
                <w:sz w:val="20"/>
                <w:szCs w:val="20"/>
              </w:rPr>
              <w:t>s</w:t>
            </w:r>
            <w:r w:rsidRPr="00F36C02">
              <w:rPr>
                <w:sz w:val="20"/>
                <w:szCs w:val="20"/>
              </w:rPr>
              <w:t xml:space="preserve"> au titre du décompte).</w:t>
            </w:r>
          </w:p>
          <w:p w14:paraId="5150BA7C" w14:textId="34278D8B" w:rsidR="00C81BCB" w:rsidRPr="001B3118" w:rsidRDefault="00C81BCB" w:rsidP="00F36C02">
            <w:pPr>
              <w:rPr>
                <w:sz w:val="20"/>
                <w:szCs w:val="20"/>
              </w:rPr>
            </w:pPr>
            <w:r w:rsidRPr="00F36C02">
              <w:rPr>
                <w:sz w:val="20"/>
                <w:szCs w:val="20"/>
              </w:rPr>
              <w:t xml:space="preserve">- L’attention est appelée sur le caractère </w:t>
            </w:r>
            <w:r w:rsidRPr="00F36C02">
              <w:rPr>
                <w:sz w:val="20"/>
                <w:szCs w:val="20"/>
                <w:u w:val="single"/>
              </w:rPr>
              <w:t>« cumulé »</w:t>
            </w:r>
            <w:r w:rsidRPr="00F36C02">
              <w:rPr>
                <w:sz w:val="20"/>
                <w:szCs w:val="20"/>
              </w:rPr>
              <w:t xml:space="preserve"> de la quantité des prestations valorisées en « estimé » dans cette colonne, depuis les précédents projets de décompte. Les quantités « estimées » qui n’ont pas été justifiée depuis les précédent projet de décompte sont par conséquent maintenues</w:t>
            </w:r>
            <w:r w:rsidR="00F36C02" w:rsidRPr="00F36C02">
              <w:rPr>
                <w:sz w:val="20"/>
                <w:szCs w:val="20"/>
              </w:rPr>
              <w:t xml:space="preserve"> d’un projet de décompte à l’autre.</w:t>
            </w:r>
            <w:r w:rsidR="00F36C02">
              <w:rPr>
                <w:sz w:val="20"/>
                <w:szCs w:val="20"/>
              </w:rPr>
              <w:t xml:space="preserve"> </w:t>
            </w:r>
          </w:p>
        </w:tc>
      </w:tr>
      <w:tr w:rsidR="006737E3" w14:paraId="6ED61D9D" w14:textId="77777777" w:rsidTr="002B576F">
        <w:trPr>
          <w:trHeight w:val="1196"/>
          <w:jc w:val="center"/>
        </w:trPr>
        <w:tc>
          <w:tcPr>
            <w:tcW w:w="846" w:type="dxa"/>
            <w:shd w:val="clear" w:color="auto" w:fill="D9D9D9" w:themeFill="background1" w:themeFillShade="D9"/>
            <w:vAlign w:val="center"/>
          </w:tcPr>
          <w:p w14:paraId="59D82A4C" w14:textId="41E00B62" w:rsidR="006737E3" w:rsidRPr="00421168" w:rsidRDefault="006737E3" w:rsidP="006737E3">
            <w:pPr>
              <w:jc w:val="center"/>
            </w:pPr>
            <w:r>
              <w:t>6</w:t>
            </w:r>
          </w:p>
        </w:tc>
        <w:tc>
          <w:tcPr>
            <w:tcW w:w="6520" w:type="dxa"/>
            <w:shd w:val="clear" w:color="auto" w:fill="D9D9D9" w:themeFill="background1" w:themeFillShade="D9"/>
            <w:vAlign w:val="center"/>
          </w:tcPr>
          <w:p w14:paraId="4DCD527D" w14:textId="013E96FA" w:rsidR="006737E3" w:rsidRPr="006737E3" w:rsidRDefault="006737E3" w:rsidP="006737E3">
            <w:pPr>
              <w:rPr>
                <w:i/>
                <w:iCs/>
              </w:rPr>
            </w:pPr>
            <w:r w:rsidRPr="006737E3">
              <w:rPr>
                <w:i/>
                <w:iCs/>
              </w:rPr>
              <w:t>« Montant atteint HT »</w:t>
            </w:r>
          </w:p>
          <w:p w14:paraId="6F954377" w14:textId="4FA6D1D9" w:rsidR="006737E3" w:rsidRPr="00421168" w:rsidRDefault="006737E3" w:rsidP="006737E3">
            <w:pPr>
              <w:rPr>
                <w:b/>
                <w:bCs/>
              </w:rPr>
            </w:pPr>
            <w:r w:rsidRPr="00421168">
              <w:rPr>
                <w:b/>
                <w:bCs/>
              </w:rPr>
              <w:t>DONNEE PRE-</w:t>
            </w:r>
            <w:r>
              <w:rPr>
                <w:b/>
                <w:bCs/>
              </w:rPr>
              <w:t>RENSEIGNEE</w:t>
            </w:r>
            <w:r w:rsidRPr="00421168">
              <w:rPr>
                <w:b/>
                <w:bCs/>
              </w:rPr>
              <w:t xml:space="preserve"> – NE PAS MODIFIER</w:t>
            </w:r>
          </w:p>
          <w:p w14:paraId="050DD8B4" w14:textId="77777777" w:rsidR="006737E3" w:rsidRDefault="006737E3" w:rsidP="006737E3"/>
          <w:p w14:paraId="54DB7B07" w14:textId="59329869" w:rsidR="006737E3" w:rsidRDefault="006737E3" w:rsidP="006737E3"/>
        </w:tc>
        <w:tc>
          <w:tcPr>
            <w:tcW w:w="7194" w:type="dxa"/>
            <w:shd w:val="clear" w:color="auto" w:fill="D9D9D9" w:themeFill="background1" w:themeFillShade="D9"/>
            <w:vAlign w:val="center"/>
          </w:tcPr>
          <w:p w14:paraId="030B9815" w14:textId="6544DECA" w:rsidR="006737E3" w:rsidRPr="00C81BCB" w:rsidRDefault="00C81BCB" w:rsidP="00C81BCB">
            <w:pPr>
              <w:rPr>
                <w:sz w:val="20"/>
                <w:szCs w:val="20"/>
              </w:rPr>
            </w:pPr>
            <w:r>
              <w:rPr>
                <w:sz w:val="20"/>
                <w:szCs w:val="20"/>
              </w:rPr>
              <w:t>- Le projet de décompte n°</w:t>
            </w:r>
            <w:r w:rsidR="001336B0">
              <w:rPr>
                <w:sz w:val="20"/>
                <w:szCs w:val="20"/>
              </w:rPr>
              <w:t xml:space="preserve"> </w:t>
            </w:r>
            <w:r>
              <w:rPr>
                <w:sz w:val="20"/>
                <w:szCs w:val="20"/>
              </w:rPr>
              <w:t>X rappelle le montant de prestations cumulé pour chaque co-traitant au stade du projet de décompte précédent n°</w:t>
            </w:r>
            <w:r w:rsidR="001336B0">
              <w:rPr>
                <w:sz w:val="20"/>
                <w:szCs w:val="20"/>
              </w:rPr>
              <w:t xml:space="preserve"> </w:t>
            </w:r>
            <w:r>
              <w:rPr>
                <w:sz w:val="20"/>
                <w:szCs w:val="20"/>
              </w:rPr>
              <w:t xml:space="preserve">X-1. Cette information permet la vérification du respect de la part </w:t>
            </w:r>
            <w:r w:rsidR="001336B0">
              <w:rPr>
                <w:sz w:val="20"/>
                <w:szCs w:val="20"/>
              </w:rPr>
              <w:t xml:space="preserve">prévue au contrat pour </w:t>
            </w:r>
            <w:r>
              <w:rPr>
                <w:sz w:val="20"/>
                <w:szCs w:val="20"/>
              </w:rPr>
              <w:t>chaque co-traitant / sous-traitant</w:t>
            </w:r>
            <w:r w:rsidR="001336B0">
              <w:rPr>
                <w:sz w:val="20"/>
                <w:szCs w:val="20"/>
              </w:rPr>
              <w:t>.</w:t>
            </w:r>
          </w:p>
        </w:tc>
      </w:tr>
      <w:tr w:rsidR="006737E3" w14:paraId="08379DCD" w14:textId="77777777" w:rsidTr="002B576F">
        <w:trPr>
          <w:trHeight w:val="2336"/>
          <w:jc w:val="center"/>
        </w:trPr>
        <w:tc>
          <w:tcPr>
            <w:tcW w:w="846" w:type="dxa"/>
            <w:vAlign w:val="center"/>
          </w:tcPr>
          <w:p w14:paraId="273B14E3" w14:textId="5DCD27A1" w:rsidR="006737E3" w:rsidRPr="00421168" w:rsidRDefault="006737E3" w:rsidP="006737E3">
            <w:pPr>
              <w:jc w:val="center"/>
            </w:pPr>
            <w:r>
              <w:t>7</w:t>
            </w:r>
          </w:p>
        </w:tc>
        <w:tc>
          <w:tcPr>
            <w:tcW w:w="6520" w:type="dxa"/>
            <w:vAlign w:val="center"/>
          </w:tcPr>
          <w:p w14:paraId="60963CFE" w14:textId="38CE3010" w:rsidR="006737E3" w:rsidRDefault="006737E3" w:rsidP="006737E3">
            <w:pPr>
              <w:rPr>
                <w:i/>
                <w:iCs/>
              </w:rPr>
            </w:pPr>
            <w:r w:rsidRPr="003E2E3B">
              <w:rPr>
                <w:i/>
                <w:iCs/>
              </w:rPr>
              <w:t>« Montant réalisé HT sur ce projet de décompte »</w:t>
            </w:r>
          </w:p>
          <w:p w14:paraId="5916B498" w14:textId="77777777" w:rsidR="003E2E3B" w:rsidRPr="003E2E3B" w:rsidRDefault="003E2E3B" w:rsidP="006737E3">
            <w:pPr>
              <w:rPr>
                <w:i/>
                <w:iCs/>
                <w:sz w:val="12"/>
                <w:szCs w:val="12"/>
              </w:rPr>
            </w:pPr>
          </w:p>
          <w:p w14:paraId="75DD02A3" w14:textId="2B8942FB" w:rsidR="006737E3" w:rsidRDefault="006737E3" w:rsidP="006737E3">
            <w:r>
              <w:t xml:space="preserve">Il est renseigné la décomposition du « Montant HT de la situation » </w:t>
            </w:r>
            <w:r w:rsidR="003E2E3B">
              <w:t xml:space="preserve">(2) </w:t>
            </w:r>
            <w:r>
              <w:t>entre les différents co-traitants et les sous-traitants</w:t>
            </w:r>
          </w:p>
          <w:p w14:paraId="209D14D2" w14:textId="4C61D787" w:rsidR="006737E3" w:rsidRDefault="006737E3" w:rsidP="006737E3"/>
        </w:tc>
        <w:tc>
          <w:tcPr>
            <w:tcW w:w="7194" w:type="dxa"/>
            <w:vAlign w:val="center"/>
          </w:tcPr>
          <w:p w14:paraId="26EC2904" w14:textId="31E05962" w:rsidR="006737E3" w:rsidRPr="00191D62" w:rsidRDefault="006737E3" w:rsidP="006737E3">
            <w:pPr>
              <w:rPr>
                <w:sz w:val="20"/>
                <w:szCs w:val="20"/>
              </w:rPr>
            </w:pPr>
            <w:r w:rsidRPr="00191D62">
              <w:rPr>
                <w:sz w:val="20"/>
                <w:szCs w:val="20"/>
              </w:rPr>
              <w:t xml:space="preserve">- La </w:t>
            </w:r>
            <w:r w:rsidRPr="00191D62">
              <w:rPr>
                <w:b/>
                <w:bCs/>
                <w:sz w:val="20"/>
                <w:szCs w:val="20"/>
              </w:rPr>
              <w:t xml:space="preserve">somme des montant </w:t>
            </w:r>
            <w:r w:rsidRPr="00F36C02">
              <w:rPr>
                <w:sz w:val="20"/>
                <w:szCs w:val="20"/>
              </w:rPr>
              <w:t>indiqués</w:t>
            </w:r>
            <w:r w:rsidRPr="00191D62">
              <w:rPr>
                <w:sz w:val="20"/>
                <w:szCs w:val="20"/>
              </w:rPr>
              <w:t xml:space="preserve"> pour les différents co-traitants et sous-traitants est </w:t>
            </w:r>
            <w:r w:rsidRPr="00191D62">
              <w:rPr>
                <w:b/>
                <w:bCs/>
                <w:sz w:val="20"/>
                <w:szCs w:val="20"/>
              </w:rPr>
              <w:t xml:space="preserve">égale </w:t>
            </w:r>
            <w:r w:rsidRPr="00191D62">
              <w:rPr>
                <w:sz w:val="20"/>
                <w:szCs w:val="20"/>
              </w:rPr>
              <w:t>au « Montant HT de la situation »</w:t>
            </w:r>
            <w:r w:rsidR="003E2E3B">
              <w:rPr>
                <w:sz w:val="20"/>
                <w:szCs w:val="20"/>
              </w:rPr>
              <w:t xml:space="preserve"> (2)</w:t>
            </w:r>
          </w:p>
          <w:p w14:paraId="68D9C605" w14:textId="04A895B5" w:rsidR="006737E3" w:rsidRPr="00191D62" w:rsidRDefault="006737E3" w:rsidP="006737E3">
            <w:pPr>
              <w:rPr>
                <w:sz w:val="20"/>
                <w:szCs w:val="20"/>
              </w:rPr>
            </w:pPr>
            <w:r w:rsidRPr="00191D62">
              <w:rPr>
                <w:sz w:val="20"/>
                <w:szCs w:val="20"/>
              </w:rPr>
              <w:t>- S’il n’y a qu’un seul prestataire, le « Montant HT de la situation » est reporté</w:t>
            </w:r>
            <w:r w:rsidR="00F36C02">
              <w:rPr>
                <w:sz w:val="20"/>
                <w:szCs w:val="20"/>
              </w:rPr>
              <w:t xml:space="preserve"> pour le prestataire comme Montant réalisé HT sur ce projet de décompte.</w:t>
            </w:r>
          </w:p>
          <w:p w14:paraId="45347349" w14:textId="23E84750" w:rsidR="006737E3" w:rsidRPr="00191D62" w:rsidRDefault="006737E3" w:rsidP="006737E3">
            <w:pPr>
              <w:rPr>
                <w:sz w:val="20"/>
                <w:szCs w:val="20"/>
              </w:rPr>
            </w:pPr>
            <w:r w:rsidRPr="00191D62">
              <w:rPr>
                <w:sz w:val="20"/>
                <w:szCs w:val="20"/>
              </w:rPr>
              <w:t xml:space="preserve">- La somme du « Montant atteint HT » et du « Montant réalisé HT sur ce projet de décompte » ne peut </w:t>
            </w:r>
            <w:r w:rsidRPr="00191D62">
              <w:rPr>
                <w:b/>
                <w:bCs/>
                <w:sz w:val="20"/>
                <w:szCs w:val="20"/>
              </w:rPr>
              <w:t>en aucun cas</w:t>
            </w:r>
            <w:r w:rsidRPr="00191D62">
              <w:rPr>
                <w:sz w:val="20"/>
                <w:szCs w:val="20"/>
              </w:rPr>
              <w:t xml:space="preserve"> dépasser la « Part prévue HT ». Le cas échéant, la situation de travaux doit être revue dans l’attente de la production de l’avenant augmentant le montant du marché, de l’avenant modifiant la répartition du montant des prestations entre les co-traitants, du DC4 modificatif ou du quitus</w:t>
            </w:r>
          </w:p>
        </w:tc>
      </w:tr>
      <w:tr w:rsidR="006737E3" w14:paraId="76F9A60F" w14:textId="77777777" w:rsidTr="002B576F">
        <w:trPr>
          <w:trHeight w:val="1122"/>
          <w:jc w:val="center"/>
        </w:trPr>
        <w:tc>
          <w:tcPr>
            <w:tcW w:w="846" w:type="dxa"/>
            <w:vAlign w:val="center"/>
          </w:tcPr>
          <w:p w14:paraId="58AD72A0" w14:textId="2D514D59" w:rsidR="006737E3" w:rsidRPr="00421168" w:rsidRDefault="006737E3" w:rsidP="006737E3">
            <w:pPr>
              <w:jc w:val="center"/>
            </w:pPr>
            <w:r>
              <w:t>8</w:t>
            </w:r>
          </w:p>
        </w:tc>
        <w:tc>
          <w:tcPr>
            <w:tcW w:w="6520" w:type="dxa"/>
            <w:vAlign w:val="center"/>
          </w:tcPr>
          <w:p w14:paraId="7F996920" w14:textId="1F5A0758" w:rsidR="006737E3" w:rsidRPr="006737E3" w:rsidRDefault="006737E3" w:rsidP="006737E3">
            <w:pPr>
              <w:rPr>
                <w:i/>
                <w:iCs/>
              </w:rPr>
            </w:pPr>
            <w:r w:rsidRPr="006737E3">
              <w:rPr>
                <w:i/>
                <w:iCs/>
              </w:rPr>
              <w:t xml:space="preserve">Cadre </w:t>
            </w:r>
            <w:r>
              <w:rPr>
                <w:i/>
                <w:iCs/>
              </w:rPr>
              <w:t>de</w:t>
            </w:r>
            <w:r w:rsidRPr="006737E3">
              <w:rPr>
                <w:i/>
                <w:iCs/>
              </w:rPr>
              <w:t xml:space="preserve"> signature du titulaire</w:t>
            </w:r>
          </w:p>
          <w:p w14:paraId="5F3375F3" w14:textId="77777777" w:rsidR="006737E3" w:rsidRDefault="006737E3" w:rsidP="006737E3"/>
          <w:p w14:paraId="111343F6" w14:textId="3B62FA92" w:rsidR="006737E3" w:rsidRDefault="006737E3" w:rsidP="006737E3"/>
        </w:tc>
        <w:tc>
          <w:tcPr>
            <w:tcW w:w="7194" w:type="dxa"/>
            <w:vAlign w:val="center"/>
          </w:tcPr>
          <w:p w14:paraId="4E1014BD" w14:textId="77777777" w:rsidR="00F36C02" w:rsidRDefault="001336B0" w:rsidP="00F36C02">
            <w:pPr>
              <w:rPr>
                <w:sz w:val="20"/>
                <w:szCs w:val="20"/>
              </w:rPr>
            </w:pPr>
            <w:r>
              <w:rPr>
                <w:sz w:val="20"/>
                <w:szCs w:val="20"/>
              </w:rPr>
              <w:t>Le titulaire précise</w:t>
            </w:r>
            <w:r w:rsidR="00F36C02">
              <w:rPr>
                <w:sz w:val="20"/>
                <w:szCs w:val="20"/>
              </w:rPr>
              <w:t> :</w:t>
            </w:r>
          </w:p>
          <w:p w14:paraId="68295721" w14:textId="77777777" w:rsidR="00F36C02" w:rsidRDefault="00F36C02" w:rsidP="00F36C02">
            <w:pPr>
              <w:rPr>
                <w:sz w:val="20"/>
                <w:szCs w:val="20"/>
              </w:rPr>
            </w:pPr>
            <w:r>
              <w:rPr>
                <w:sz w:val="20"/>
                <w:szCs w:val="20"/>
              </w:rPr>
              <w:t xml:space="preserve">- l’identité de la personne ayant établit le projet de </w:t>
            </w:r>
            <w:r w:rsidR="00B7123D">
              <w:rPr>
                <w:sz w:val="20"/>
                <w:szCs w:val="20"/>
              </w:rPr>
              <w:t>décompte</w:t>
            </w:r>
          </w:p>
          <w:p w14:paraId="12B39461" w14:textId="77777777" w:rsidR="00B7123D" w:rsidRDefault="00B7123D" w:rsidP="00F36C02">
            <w:pPr>
              <w:rPr>
                <w:sz w:val="20"/>
                <w:szCs w:val="20"/>
              </w:rPr>
            </w:pPr>
            <w:r>
              <w:rPr>
                <w:sz w:val="20"/>
                <w:szCs w:val="20"/>
              </w:rPr>
              <w:t>- le lieu et la date d’établissement du projet de décompte</w:t>
            </w:r>
          </w:p>
          <w:p w14:paraId="2B22F40F" w14:textId="662103C2" w:rsidR="00B7123D" w:rsidRPr="00F36C02" w:rsidRDefault="00B7123D" w:rsidP="00F36C02">
            <w:pPr>
              <w:rPr>
                <w:sz w:val="20"/>
                <w:szCs w:val="20"/>
              </w:rPr>
            </w:pPr>
            <w:r>
              <w:rPr>
                <w:sz w:val="20"/>
                <w:szCs w:val="20"/>
              </w:rPr>
              <w:t>Il procède à la signature du projet de décompte.</w:t>
            </w:r>
          </w:p>
        </w:tc>
      </w:tr>
      <w:tr w:rsidR="006737E3" w14:paraId="35FDD62C" w14:textId="77777777" w:rsidTr="002B576F">
        <w:trPr>
          <w:trHeight w:val="1408"/>
          <w:jc w:val="center"/>
        </w:trPr>
        <w:tc>
          <w:tcPr>
            <w:tcW w:w="846" w:type="dxa"/>
            <w:vAlign w:val="center"/>
          </w:tcPr>
          <w:p w14:paraId="1AA8CD0E" w14:textId="77777777" w:rsidR="006737E3" w:rsidRDefault="006737E3" w:rsidP="006737E3">
            <w:pPr>
              <w:jc w:val="center"/>
            </w:pPr>
            <w:r>
              <w:t>9</w:t>
            </w:r>
          </w:p>
          <w:p w14:paraId="7853F496" w14:textId="474AC65E" w:rsidR="006737E3" w:rsidRPr="00421168" w:rsidRDefault="006737E3" w:rsidP="006737E3"/>
        </w:tc>
        <w:tc>
          <w:tcPr>
            <w:tcW w:w="6520" w:type="dxa"/>
            <w:vAlign w:val="center"/>
          </w:tcPr>
          <w:p w14:paraId="7CA3B1BC" w14:textId="46909CF3" w:rsidR="006737E3" w:rsidRPr="003E2E3B" w:rsidRDefault="006737E3" w:rsidP="006737E3">
            <w:pPr>
              <w:rPr>
                <w:i/>
                <w:iCs/>
              </w:rPr>
            </w:pPr>
            <w:r w:rsidRPr="003E2E3B">
              <w:rPr>
                <w:i/>
                <w:iCs/>
              </w:rPr>
              <w:t>Cadre de signature du maître d’œuvre</w:t>
            </w:r>
          </w:p>
          <w:p w14:paraId="4E668064" w14:textId="77777777" w:rsidR="006737E3" w:rsidRDefault="006737E3" w:rsidP="006737E3"/>
          <w:p w14:paraId="47DB2450" w14:textId="31DEE0E5" w:rsidR="006737E3" w:rsidRDefault="006737E3" w:rsidP="006737E3"/>
        </w:tc>
        <w:tc>
          <w:tcPr>
            <w:tcW w:w="7194" w:type="dxa"/>
            <w:vAlign w:val="center"/>
          </w:tcPr>
          <w:p w14:paraId="67D06C94" w14:textId="77777777" w:rsidR="006737E3" w:rsidRDefault="00B7123D" w:rsidP="006737E3">
            <w:pPr>
              <w:rPr>
                <w:sz w:val="20"/>
                <w:szCs w:val="20"/>
              </w:rPr>
            </w:pPr>
            <w:r>
              <w:rPr>
                <w:sz w:val="20"/>
                <w:szCs w:val="20"/>
              </w:rPr>
              <w:t>Après c</w:t>
            </w:r>
            <w:r w:rsidRPr="00B7123D">
              <w:rPr>
                <w:sz w:val="20"/>
                <w:szCs w:val="20"/>
              </w:rPr>
              <w:t xml:space="preserve">ontrôle </w:t>
            </w:r>
            <w:r>
              <w:rPr>
                <w:sz w:val="20"/>
                <w:szCs w:val="20"/>
              </w:rPr>
              <w:t>(</w:t>
            </w:r>
            <w:r w:rsidRPr="00B7123D">
              <w:rPr>
                <w:sz w:val="20"/>
                <w:szCs w:val="20"/>
              </w:rPr>
              <w:t xml:space="preserve">et correction </w:t>
            </w:r>
            <w:r>
              <w:rPr>
                <w:sz w:val="20"/>
                <w:szCs w:val="20"/>
              </w:rPr>
              <w:t xml:space="preserve">éventuelle) </w:t>
            </w:r>
            <w:r w:rsidRPr="00B7123D">
              <w:rPr>
                <w:sz w:val="20"/>
                <w:szCs w:val="20"/>
              </w:rPr>
              <w:t>du projet de décompte GEMME remis par l’entreprise</w:t>
            </w:r>
            <w:r>
              <w:rPr>
                <w:sz w:val="20"/>
                <w:szCs w:val="20"/>
              </w:rPr>
              <w:t xml:space="preserve">, </w:t>
            </w:r>
            <w:r w:rsidRPr="00B7123D">
              <w:rPr>
                <w:sz w:val="20"/>
                <w:szCs w:val="20"/>
              </w:rPr>
              <w:t>le Maitre d’œuvre</w:t>
            </w:r>
            <w:r>
              <w:rPr>
                <w:sz w:val="20"/>
                <w:szCs w:val="20"/>
              </w:rPr>
              <w:t xml:space="preserve"> renseigne :</w:t>
            </w:r>
          </w:p>
          <w:p w14:paraId="660DF3D2" w14:textId="77777777" w:rsidR="00B7123D" w:rsidRDefault="00B7123D" w:rsidP="00B7123D">
            <w:pPr>
              <w:rPr>
                <w:b/>
                <w:bCs/>
                <w:sz w:val="20"/>
                <w:szCs w:val="20"/>
              </w:rPr>
            </w:pPr>
            <w:r>
              <w:rPr>
                <w:sz w:val="20"/>
                <w:szCs w:val="20"/>
              </w:rPr>
              <w:t xml:space="preserve">- La date à laquelle l’entreprise lui à remis le projet de décompte renseigné (date de réception par ses soins). </w:t>
            </w:r>
            <w:r w:rsidRPr="00B7123D">
              <w:rPr>
                <w:b/>
                <w:bCs/>
                <w:sz w:val="20"/>
                <w:szCs w:val="20"/>
              </w:rPr>
              <w:t>Cette date constitue le point du départ du délai de paiement</w:t>
            </w:r>
            <w:r>
              <w:rPr>
                <w:b/>
                <w:bCs/>
                <w:sz w:val="20"/>
                <w:szCs w:val="20"/>
              </w:rPr>
              <w:t xml:space="preserve"> du Maître d’ouvrage.</w:t>
            </w:r>
          </w:p>
          <w:p w14:paraId="62B2D2B1" w14:textId="77777777" w:rsidR="00932224" w:rsidRDefault="00B7123D" w:rsidP="00932224">
            <w:pPr>
              <w:rPr>
                <w:sz w:val="20"/>
                <w:szCs w:val="20"/>
              </w:rPr>
            </w:pPr>
            <w:r>
              <w:rPr>
                <w:b/>
                <w:bCs/>
                <w:sz w:val="20"/>
                <w:szCs w:val="20"/>
              </w:rPr>
              <w:t xml:space="preserve">- </w:t>
            </w:r>
            <w:r w:rsidRPr="00932224">
              <w:rPr>
                <w:sz w:val="20"/>
                <w:szCs w:val="20"/>
              </w:rPr>
              <w:t xml:space="preserve">La date à laquelle il a validé (y.c. corrections éventuelles) le projet de décompte </w:t>
            </w:r>
          </w:p>
          <w:p w14:paraId="031F2C99" w14:textId="0725193A" w:rsidR="00B7123D" w:rsidRDefault="00B7123D" w:rsidP="00932224">
            <w:pPr>
              <w:rPr>
                <w:b/>
                <w:bCs/>
                <w:sz w:val="20"/>
                <w:szCs w:val="20"/>
              </w:rPr>
            </w:pPr>
            <w:r>
              <w:rPr>
                <w:b/>
                <w:bCs/>
                <w:sz w:val="20"/>
                <w:szCs w:val="20"/>
              </w:rPr>
              <w:t xml:space="preserve">Le délai écoulé entre la date de réception du projet de décompte par le </w:t>
            </w:r>
            <w:r w:rsidR="00932224">
              <w:rPr>
                <w:b/>
                <w:bCs/>
                <w:sz w:val="20"/>
                <w:szCs w:val="20"/>
              </w:rPr>
              <w:t>Maître</w:t>
            </w:r>
            <w:r>
              <w:rPr>
                <w:b/>
                <w:bCs/>
                <w:sz w:val="20"/>
                <w:szCs w:val="20"/>
              </w:rPr>
              <w:t xml:space="preserve"> d’œuvre et sa date de validation (y.c. transmission au maitre d’ouvrage) est </w:t>
            </w:r>
            <w:r>
              <w:rPr>
                <w:b/>
                <w:bCs/>
                <w:sz w:val="20"/>
                <w:szCs w:val="20"/>
              </w:rPr>
              <w:lastRenderedPageBreak/>
              <w:t>conforme au délai prescrit par le délai du marché de maîtrise d’œuvre. Elle ne doit pas excéder 10 jours calendaires.</w:t>
            </w:r>
            <w:r w:rsidRPr="00B7123D">
              <w:rPr>
                <w:b/>
                <w:bCs/>
                <w:sz w:val="20"/>
                <w:szCs w:val="20"/>
              </w:rPr>
              <w:t xml:space="preserve"> </w:t>
            </w:r>
          </w:p>
          <w:p w14:paraId="67B5CDC0" w14:textId="77777777" w:rsidR="00932224" w:rsidRDefault="00932224" w:rsidP="00932224">
            <w:pPr>
              <w:rPr>
                <w:sz w:val="20"/>
                <w:szCs w:val="20"/>
              </w:rPr>
            </w:pPr>
            <w:r>
              <w:rPr>
                <w:sz w:val="20"/>
                <w:szCs w:val="20"/>
              </w:rPr>
              <w:t>Le maître d’œuvre procède à la signature du projet de décompte.</w:t>
            </w:r>
          </w:p>
          <w:p w14:paraId="3D0CFAC9" w14:textId="2E70DFCC" w:rsidR="00932224" w:rsidRPr="00B7123D" w:rsidRDefault="00932224" w:rsidP="00932224">
            <w:pPr>
              <w:rPr>
                <w:sz w:val="20"/>
                <w:szCs w:val="20"/>
              </w:rPr>
            </w:pPr>
            <w:r>
              <w:rPr>
                <w:sz w:val="20"/>
                <w:szCs w:val="20"/>
              </w:rPr>
              <w:t>Il en assure alors la transmission au Maître d’ouvrage, en adressant copie à l’entreprise.</w:t>
            </w:r>
          </w:p>
        </w:tc>
      </w:tr>
      <w:tr w:rsidR="006737E3" w14:paraId="65F4CD89" w14:textId="77777777" w:rsidTr="002B576F">
        <w:trPr>
          <w:trHeight w:val="2961"/>
          <w:jc w:val="center"/>
        </w:trPr>
        <w:tc>
          <w:tcPr>
            <w:tcW w:w="846" w:type="dxa"/>
            <w:shd w:val="clear" w:color="auto" w:fill="A6A6A6" w:themeFill="background1" w:themeFillShade="A6"/>
            <w:vAlign w:val="center"/>
          </w:tcPr>
          <w:p w14:paraId="71A433DA" w14:textId="5F01B27E" w:rsidR="006737E3" w:rsidRDefault="006737E3" w:rsidP="006737E3">
            <w:pPr>
              <w:jc w:val="center"/>
            </w:pPr>
            <w:r>
              <w:lastRenderedPageBreak/>
              <w:t>10</w:t>
            </w:r>
          </w:p>
        </w:tc>
        <w:tc>
          <w:tcPr>
            <w:tcW w:w="6520" w:type="dxa"/>
            <w:shd w:val="clear" w:color="auto" w:fill="A6A6A6" w:themeFill="background1" w:themeFillShade="A6"/>
            <w:vAlign w:val="center"/>
          </w:tcPr>
          <w:p w14:paraId="123EC490" w14:textId="77777777" w:rsidR="006737E3" w:rsidRPr="006737E3" w:rsidRDefault="006737E3" w:rsidP="006737E3">
            <w:pPr>
              <w:rPr>
                <w:i/>
                <w:iCs/>
              </w:rPr>
            </w:pPr>
            <w:r w:rsidRPr="006737E3">
              <w:rPr>
                <w:i/>
                <w:iCs/>
              </w:rPr>
              <w:t>« Part prévue HT »</w:t>
            </w:r>
          </w:p>
          <w:p w14:paraId="4366335F" w14:textId="15D0835C" w:rsidR="006737E3" w:rsidRPr="006737E3" w:rsidRDefault="006737E3" w:rsidP="006737E3">
            <w:pPr>
              <w:rPr>
                <w:b/>
                <w:bCs/>
              </w:rPr>
            </w:pPr>
            <w:r w:rsidRPr="00421168">
              <w:rPr>
                <w:b/>
                <w:bCs/>
              </w:rPr>
              <w:t>DONNEE PRE-</w:t>
            </w:r>
            <w:r>
              <w:rPr>
                <w:b/>
                <w:bCs/>
              </w:rPr>
              <w:t>RENSEIGNEE</w:t>
            </w:r>
            <w:r w:rsidRPr="00421168">
              <w:rPr>
                <w:b/>
                <w:bCs/>
              </w:rPr>
              <w:t xml:space="preserve"> – NE PAS MODIFIER</w:t>
            </w:r>
          </w:p>
        </w:tc>
        <w:tc>
          <w:tcPr>
            <w:tcW w:w="7194" w:type="dxa"/>
            <w:shd w:val="clear" w:color="auto" w:fill="A6A6A6" w:themeFill="background1" w:themeFillShade="A6"/>
            <w:vAlign w:val="center"/>
          </w:tcPr>
          <w:p w14:paraId="442C1F0C" w14:textId="375BF632" w:rsidR="006737E3" w:rsidRDefault="003E2E3B" w:rsidP="006737E3">
            <w:pPr>
              <w:rPr>
                <w:sz w:val="20"/>
                <w:szCs w:val="20"/>
              </w:rPr>
            </w:pPr>
            <w:r>
              <w:rPr>
                <w:sz w:val="20"/>
                <w:szCs w:val="20"/>
              </w:rPr>
              <w:t>- La part prévue HT est fixée par les dispositions issues du contrat et/ou ses actes modificatifs. Pour les différents co-traitants, elle correspond au montant renseigné à l’acte d’engagement, diminué, le cas échéant, du montant des prestations sous-traitées. Pour les sous-traitants, elle correspond au montant de prestations sous-traitées établit dans l’acte de sous-traitance.</w:t>
            </w:r>
          </w:p>
          <w:p w14:paraId="11F95EF9" w14:textId="77777777" w:rsidR="003E2E3B" w:rsidRDefault="003E2E3B" w:rsidP="006737E3">
            <w:pPr>
              <w:rPr>
                <w:sz w:val="20"/>
                <w:szCs w:val="20"/>
              </w:rPr>
            </w:pPr>
            <w:r>
              <w:rPr>
                <w:sz w:val="20"/>
                <w:szCs w:val="20"/>
              </w:rPr>
              <w:t>- Toute modification de la part d’un co-traitant doit préalablement faire l’objet d’un avenant. Toute modification de la part d’un sous-traitant doit préalablement faire l’objet d’un DC4 modificatif, ou d’un quitus.</w:t>
            </w:r>
          </w:p>
          <w:p w14:paraId="42CDA30C" w14:textId="26748CFD" w:rsidR="003E2E3B" w:rsidRPr="00191D62" w:rsidRDefault="003E2E3B" w:rsidP="006737E3">
            <w:pPr>
              <w:rPr>
                <w:sz w:val="20"/>
                <w:szCs w:val="20"/>
              </w:rPr>
            </w:pPr>
            <w:r>
              <w:rPr>
                <w:sz w:val="20"/>
                <w:szCs w:val="20"/>
              </w:rPr>
              <w:t>- Le dépassement de la part prévue pour un des co-traitant ou sous-traitant (</w:t>
            </w:r>
            <w:r w:rsidRPr="00191D62">
              <w:rPr>
                <w:sz w:val="20"/>
                <w:szCs w:val="20"/>
              </w:rPr>
              <w:t>somme du « Montant atteint HT » et du « Montant réalisé HT sur ce projet de décompte »</w:t>
            </w:r>
            <w:r>
              <w:rPr>
                <w:sz w:val="20"/>
                <w:szCs w:val="20"/>
              </w:rPr>
              <w:t>) entraine l’irrecevabilité du projet de décompte</w:t>
            </w:r>
          </w:p>
        </w:tc>
      </w:tr>
      <w:tr w:rsidR="006737E3" w14:paraId="00CC9638" w14:textId="77777777" w:rsidTr="002B576F">
        <w:trPr>
          <w:trHeight w:val="693"/>
          <w:jc w:val="center"/>
        </w:trPr>
        <w:tc>
          <w:tcPr>
            <w:tcW w:w="846" w:type="dxa"/>
            <w:shd w:val="clear" w:color="auto" w:fill="A6A6A6" w:themeFill="background1" w:themeFillShade="A6"/>
            <w:vAlign w:val="center"/>
          </w:tcPr>
          <w:p w14:paraId="7B7DFA3A" w14:textId="550EC878" w:rsidR="006737E3" w:rsidRDefault="006737E3" w:rsidP="006737E3">
            <w:pPr>
              <w:jc w:val="center"/>
            </w:pPr>
            <w:r>
              <w:t>11</w:t>
            </w:r>
          </w:p>
        </w:tc>
        <w:tc>
          <w:tcPr>
            <w:tcW w:w="6520" w:type="dxa"/>
            <w:shd w:val="clear" w:color="auto" w:fill="A6A6A6" w:themeFill="background1" w:themeFillShade="A6"/>
            <w:vAlign w:val="center"/>
          </w:tcPr>
          <w:p w14:paraId="2FE678C3" w14:textId="77777777" w:rsidR="006737E3" w:rsidRPr="006737E3" w:rsidRDefault="006737E3" w:rsidP="006737E3">
            <w:pPr>
              <w:rPr>
                <w:i/>
                <w:iCs/>
              </w:rPr>
            </w:pPr>
            <w:r w:rsidRPr="006737E3">
              <w:rPr>
                <w:i/>
                <w:iCs/>
              </w:rPr>
              <w:t>« Prestations mesurées antérieures »</w:t>
            </w:r>
          </w:p>
          <w:p w14:paraId="2AF56DC5" w14:textId="057AE796" w:rsidR="006737E3" w:rsidRPr="006737E3" w:rsidRDefault="006737E3" w:rsidP="006737E3">
            <w:pPr>
              <w:rPr>
                <w:b/>
                <w:bCs/>
              </w:rPr>
            </w:pPr>
            <w:r w:rsidRPr="00421168">
              <w:rPr>
                <w:b/>
                <w:bCs/>
              </w:rPr>
              <w:t>DONNEE PRE-</w:t>
            </w:r>
            <w:r>
              <w:rPr>
                <w:b/>
                <w:bCs/>
              </w:rPr>
              <w:t>RENSEIGNEE</w:t>
            </w:r>
            <w:r w:rsidRPr="00421168">
              <w:rPr>
                <w:b/>
                <w:bCs/>
              </w:rPr>
              <w:t xml:space="preserve"> – NE PAS MODIFIER</w:t>
            </w:r>
          </w:p>
        </w:tc>
        <w:tc>
          <w:tcPr>
            <w:tcW w:w="7194" w:type="dxa"/>
            <w:shd w:val="clear" w:color="auto" w:fill="A6A6A6" w:themeFill="background1" w:themeFillShade="A6"/>
            <w:vAlign w:val="center"/>
          </w:tcPr>
          <w:p w14:paraId="2480EB38" w14:textId="68BE4F1A" w:rsidR="006737E3" w:rsidRPr="00191D62" w:rsidRDefault="00932224" w:rsidP="006737E3">
            <w:pPr>
              <w:rPr>
                <w:sz w:val="20"/>
                <w:szCs w:val="20"/>
              </w:rPr>
            </w:pPr>
            <w:r>
              <w:rPr>
                <w:sz w:val="20"/>
                <w:szCs w:val="20"/>
              </w:rPr>
              <w:t>Donnée indicative. Rappelle le montant cumulé de prestations constatées</w:t>
            </w:r>
            <w:r w:rsidR="00466734">
              <w:rPr>
                <w:sz w:val="20"/>
                <w:szCs w:val="20"/>
              </w:rPr>
              <w:t xml:space="preserve"> (mesurées)</w:t>
            </w:r>
            <w:r>
              <w:rPr>
                <w:sz w:val="20"/>
                <w:szCs w:val="20"/>
              </w:rPr>
              <w:t xml:space="preserve"> depuis l’origine du marché</w:t>
            </w:r>
            <w:r w:rsidR="00466734">
              <w:rPr>
                <w:sz w:val="20"/>
                <w:szCs w:val="20"/>
              </w:rPr>
              <w:t xml:space="preserve"> (sur la tranche concernée).</w:t>
            </w:r>
          </w:p>
        </w:tc>
      </w:tr>
      <w:tr w:rsidR="006737E3" w14:paraId="594819F7" w14:textId="77777777" w:rsidTr="002B576F">
        <w:trPr>
          <w:trHeight w:val="703"/>
          <w:jc w:val="center"/>
        </w:trPr>
        <w:tc>
          <w:tcPr>
            <w:tcW w:w="846" w:type="dxa"/>
            <w:shd w:val="clear" w:color="auto" w:fill="A6A6A6" w:themeFill="background1" w:themeFillShade="A6"/>
            <w:vAlign w:val="center"/>
          </w:tcPr>
          <w:p w14:paraId="43AB91C6" w14:textId="79AD7E4E" w:rsidR="006737E3" w:rsidRDefault="006737E3" w:rsidP="006737E3">
            <w:pPr>
              <w:jc w:val="center"/>
            </w:pPr>
            <w:r>
              <w:t>12</w:t>
            </w:r>
          </w:p>
        </w:tc>
        <w:tc>
          <w:tcPr>
            <w:tcW w:w="6520" w:type="dxa"/>
            <w:shd w:val="clear" w:color="auto" w:fill="A6A6A6" w:themeFill="background1" w:themeFillShade="A6"/>
            <w:vAlign w:val="center"/>
          </w:tcPr>
          <w:p w14:paraId="14C85BB7" w14:textId="77777777" w:rsidR="006737E3" w:rsidRPr="006737E3" w:rsidRDefault="006737E3" w:rsidP="006737E3">
            <w:pPr>
              <w:rPr>
                <w:i/>
                <w:iCs/>
              </w:rPr>
            </w:pPr>
            <w:r w:rsidRPr="006737E3">
              <w:rPr>
                <w:i/>
                <w:iCs/>
              </w:rPr>
              <w:t>« Prestations estimées antérieures »</w:t>
            </w:r>
          </w:p>
          <w:p w14:paraId="280431F3" w14:textId="0EE8BE29" w:rsidR="006737E3" w:rsidRDefault="006737E3" w:rsidP="006737E3">
            <w:r w:rsidRPr="00421168">
              <w:rPr>
                <w:b/>
                <w:bCs/>
              </w:rPr>
              <w:t>DONNEE PRE-</w:t>
            </w:r>
            <w:r>
              <w:rPr>
                <w:b/>
                <w:bCs/>
              </w:rPr>
              <w:t>RENSEIGNEE</w:t>
            </w:r>
            <w:r w:rsidRPr="00421168">
              <w:rPr>
                <w:b/>
                <w:bCs/>
              </w:rPr>
              <w:t xml:space="preserve"> – NE PAS MODIFIER</w:t>
            </w:r>
          </w:p>
        </w:tc>
        <w:tc>
          <w:tcPr>
            <w:tcW w:w="7194" w:type="dxa"/>
            <w:shd w:val="clear" w:color="auto" w:fill="A6A6A6" w:themeFill="background1" w:themeFillShade="A6"/>
            <w:vAlign w:val="center"/>
          </w:tcPr>
          <w:p w14:paraId="43FCEE20" w14:textId="34885AC2" w:rsidR="006737E3" w:rsidRPr="00191D62" w:rsidRDefault="00466734" w:rsidP="006737E3">
            <w:pPr>
              <w:rPr>
                <w:sz w:val="20"/>
                <w:szCs w:val="20"/>
              </w:rPr>
            </w:pPr>
            <w:r>
              <w:rPr>
                <w:sz w:val="20"/>
                <w:szCs w:val="20"/>
              </w:rPr>
              <w:t>Donnée indicative. Rappelle le montant cumulé de prestations valorisée en « estimée » (et non encore constatées) depuis les précédents projets de décompte.</w:t>
            </w:r>
          </w:p>
        </w:tc>
      </w:tr>
      <w:tr w:rsidR="006737E3" w14:paraId="3EBCE722" w14:textId="77777777" w:rsidTr="002B576F">
        <w:trPr>
          <w:trHeight w:val="1736"/>
          <w:jc w:val="center"/>
        </w:trPr>
        <w:tc>
          <w:tcPr>
            <w:tcW w:w="846" w:type="dxa"/>
            <w:shd w:val="clear" w:color="auto" w:fill="A6A6A6" w:themeFill="background1" w:themeFillShade="A6"/>
            <w:vAlign w:val="center"/>
          </w:tcPr>
          <w:p w14:paraId="474897CF" w14:textId="2967B4BF" w:rsidR="006737E3" w:rsidRDefault="006737E3" w:rsidP="006737E3">
            <w:pPr>
              <w:jc w:val="center"/>
            </w:pPr>
            <w:r>
              <w:t>13</w:t>
            </w:r>
          </w:p>
        </w:tc>
        <w:tc>
          <w:tcPr>
            <w:tcW w:w="6520" w:type="dxa"/>
            <w:shd w:val="clear" w:color="auto" w:fill="A6A6A6" w:themeFill="background1" w:themeFillShade="A6"/>
            <w:vAlign w:val="center"/>
          </w:tcPr>
          <w:p w14:paraId="0B3CCF33" w14:textId="77777777" w:rsidR="006737E3" w:rsidRPr="006737E3" w:rsidRDefault="006737E3" w:rsidP="006737E3">
            <w:pPr>
              <w:rPr>
                <w:i/>
                <w:iCs/>
              </w:rPr>
            </w:pPr>
            <w:r w:rsidRPr="006737E3">
              <w:rPr>
                <w:i/>
                <w:iCs/>
              </w:rPr>
              <w:t>« Taux d’avancement »</w:t>
            </w:r>
          </w:p>
          <w:p w14:paraId="46F4B864" w14:textId="36E59532" w:rsidR="006737E3" w:rsidRDefault="006737E3" w:rsidP="006737E3">
            <w:r w:rsidRPr="00421168">
              <w:rPr>
                <w:b/>
                <w:bCs/>
              </w:rPr>
              <w:t>DONNEE PRE-</w:t>
            </w:r>
            <w:r>
              <w:rPr>
                <w:b/>
                <w:bCs/>
              </w:rPr>
              <w:t>RENSEIGNEE</w:t>
            </w:r>
            <w:r w:rsidRPr="00421168">
              <w:rPr>
                <w:b/>
                <w:bCs/>
              </w:rPr>
              <w:t xml:space="preserve"> – NE PAS MODIFIER</w:t>
            </w:r>
          </w:p>
        </w:tc>
        <w:tc>
          <w:tcPr>
            <w:tcW w:w="7194" w:type="dxa"/>
            <w:shd w:val="clear" w:color="auto" w:fill="A6A6A6" w:themeFill="background1" w:themeFillShade="A6"/>
            <w:vAlign w:val="center"/>
          </w:tcPr>
          <w:p w14:paraId="3DB8C8D2" w14:textId="77777777" w:rsidR="00466734" w:rsidRDefault="00466734" w:rsidP="006737E3">
            <w:pPr>
              <w:rPr>
                <w:sz w:val="20"/>
                <w:szCs w:val="20"/>
              </w:rPr>
            </w:pPr>
            <w:r>
              <w:rPr>
                <w:sz w:val="20"/>
                <w:szCs w:val="20"/>
              </w:rPr>
              <w:t xml:space="preserve">Donnée indicative. Indiquer l’avancement du poste de prix (pour le cumul des quantités mesurées et estimées) par rapport à la </w:t>
            </w:r>
            <w:r w:rsidRPr="00466734">
              <w:rPr>
                <w:b/>
                <w:bCs/>
                <w:sz w:val="20"/>
                <w:szCs w:val="20"/>
              </w:rPr>
              <w:t>quantité prévue</w:t>
            </w:r>
            <w:r>
              <w:rPr>
                <w:sz w:val="20"/>
                <w:szCs w:val="20"/>
              </w:rPr>
              <w:t xml:space="preserve"> tel que définie par le détail estimatif du marché. </w:t>
            </w:r>
          </w:p>
          <w:p w14:paraId="3552A627" w14:textId="2F8DBBB1" w:rsidR="006737E3" w:rsidRPr="00191D62" w:rsidRDefault="00466734" w:rsidP="006737E3">
            <w:pPr>
              <w:rPr>
                <w:sz w:val="20"/>
                <w:szCs w:val="20"/>
              </w:rPr>
            </w:pPr>
            <w:r>
              <w:rPr>
                <w:sz w:val="20"/>
                <w:szCs w:val="20"/>
              </w:rPr>
              <w:t>Un taux d’avancement supérieur à 100% traduit par conséquent le dépassement de la quantité initialement prévue au marché par le détail estimatif, et doit alerter sur le potentiel dépassement du montant du marché.</w:t>
            </w:r>
          </w:p>
        </w:tc>
      </w:tr>
    </w:tbl>
    <w:p w14:paraId="19B63A14" w14:textId="6B66476B" w:rsidR="00956979" w:rsidRDefault="00956979"/>
    <w:p w14:paraId="4DCED712" w14:textId="131DA97B" w:rsidR="00466734" w:rsidRDefault="00466734"/>
    <w:p w14:paraId="73FB8249" w14:textId="12C229FA" w:rsidR="00466734" w:rsidRDefault="00466734"/>
    <w:p w14:paraId="3DD10E3F" w14:textId="181C6A18" w:rsidR="00466734" w:rsidRDefault="00466734"/>
    <w:p w14:paraId="382FD30E" w14:textId="77777777" w:rsidR="00A9231E" w:rsidRDefault="00A9231E">
      <w:pPr>
        <w:rPr>
          <w:b/>
          <w:bCs/>
          <w:u w:val="single"/>
        </w:rPr>
      </w:pPr>
    </w:p>
    <w:p w14:paraId="7F56FC5B" w14:textId="77777777" w:rsidR="00A9231E" w:rsidRDefault="00A9231E">
      <w:pPr>
        <w:rPr>
          <w:b/>
          <w:bCs/>
          <w:u w:val="single"/>
        </w:rPr>
      </w:pPr>
    </w:p>
    <w:p w14:paraId="6EBBE07E" w14:textId="1DC08FBD" w:rsidR="00956979" w:rsidRPr="00922E63" w:rsidRDefault="00922E63">
      <w:pPr>
        <w:rPr>
          <w:b/>
          <w:bCs/>
          <w:u w:val="single"/>
        </w:rPr>
      </w:pPr>
      <w:r w:rsidRPr="00922E63">
        <w:rPr>
          <w:b/>
          <w:bCs/>
          <w:u w:val="single"/>
        </w:rPr>
        <w:lastRenderedPageBreak/>
        <w:t>Pièces complémentaires à produire :</w:t>
      </w:r>
    </w:p>
    <w:p w14:paraId="755AF939" w14:textId="076E4384" w:rsidR="00956979" w:rsidRDefault="00956979">
      <w:r>
        <w:t xml:space="preserve">Le projet de décompte </w:t>
      </w:r>
      <w:r w:rsidR="00E60572">
        <w:t>dûment</w:t>
      </w:r>
      <w:r>
        <w:t xml:space="preserve"> renseigné et signé, doit être impérativement être complété de :</w:t>
      </w:r>
    </w:p>
    <w:p w14:paraId="23826FDE" w14:textId="45908C41" w:rsidR="00E60572" w:rsidRDefault="00E60572" w:rsidP="00E60572">
      <w:pPr>
        <w:pStyle w:val="Paragraphedeliste"/>
        <w:numPr>
          <w:ilvl w:val="0"/>
          <w:numId w:val="1"/>
        </w:numPr>
      </w:pPr>
      <w:r>
        <w:t>En cas de paiement à un sous-traitant : Attestation de paiement au sous-traitant</w:t>
      </w:r>
    </w:p>
    <w:p w14:paraId="29C0A18F" w14:textId="7289ADAC" w:rsidR="00E60572" w:rsidRDefault="00E60572" w:rsidP="00E60572">
      <w:pPr>
        <w:pStyle w:val="Paragraphedeliste"/>
        <w:numPr>
          <w:ilvl w:val="0"/>
          <w:numId w:val="1"/>
        </w:numPr>
      </w:pPr>
      <w:r>
        <w:t xml:space="preserve">En cas groupement : Réparation du montant </w:t>
      </w:r>
      <w:r w:rsidR="00060407">
        <w:t xml:space="preserve">des prestations </w:t>
      </w:r>
      <w:r>
        <w:t>par co-traitant décomposé selon les index TP applicables</w:t>
      </w:r>
      <w:r w:rsidR="00421168">
        <w:t>, selon tableau type ci-après</w:t>
      </w:r>
    </w:p>
    <w:tbl>
      <w:tblPr>
        <w:tblStyle w:val="Grilledutableau"/>
        <w:tblW w:w="0" w:type="auto"/>
        <w:tblInd w:w="846" w:type="dxa"/>
        <w:tblLook w:val="04A0" w:firstRow="1" w:lastRow="0" w:firstColumn="1" w:lastColumn="0" w:noHBand="0" w:noVBand="1"/>
      </w:tblPr>
      <w:tblGrid>
        <w:gridCol w:w="2693"/>
        <w:gridCol w:w="1843"/>
        <w:gridCol w:w="1843"/>
        <w:gridCol w:w="1842"/>
        <w:gridCol w:w="3333"/>
      </w:tblGrid>
      <w:tr w:rsidR="00421168" w14:paraId="40B5D676" w14:textId="77777777" w:rsidTr="00421168">
        <w:tc>
          <w:tcPr>
            <w:tcW w:w="2693" w:type="dxa"/>
            <w:vMerge w:val="restart"/>
            <w:shd w:val="clear" w:color="auto" w:fill="FFF2CC" w:themeFill="accent4" w:themeFillTint="33"/>
          </w:tcPr>
          <w:p w14:paraId="4542D2DD" w14:textId="5DA24300" w:rsidR="00421168" w:rsidRPr="00421168" w:rsidRDefault="00421168" w:rsidP="00060407">
            <w:pPr>
              <w:jc w:val="center"/>
              <w:rPr>
                <w:b/>
                <w:bCs/>
                <w:i/>
                <w:iCs/>
              </w:rPr>
            </w:pPr>
            <w:r w:rsidRPr="00421168">
              <w:rPr>
                <w:b/>
                <w:bCs/>
                <w:i/>
                <w:iCs/>
              </w:rPr>
              <w:t>Co-traitant</w:t>
            </w:r>
          </w:p>
        </w:tc>
        <w:tc>
          <w:tcPr>
            <w:tcW w:w="5528" w:type="dxa"/>
            <w:gridSpan w:val="3"/>
            <w:shd w:val="clear" w:color="auto" w:fill="FFF2CC" w:themeFill="accent4" w:themeFillTint="33"/>
          </w:tcPr>
          <w:p w14:paraId="771CF509" w14:textId="74D5E5C0" w:rsidR="00421168" w:rsidRPr="00421168" w:rsidRDefault="00421168" w:rsidP="00060407">
            <w:pPr>
              <w:jc w:val="center"/>
              <w:rPr>
                <w:b/>
                <w:bCs/>
                <w:i/>
                <w:iCs/>
              </w:rPr>
            </w:pPr>
            <w:r w:rsidRPr="00421168">
              <w:rPr>
                <w:b/>
                <w:bCs/>
                <w:i/>
                <w:iCs/>
              </w:rPr>
              <w:t>Montant cumulé des prestations soumis à variation selon</w:t>
            </w:r>
          </w:p>
        </w:tc>
        <w:tc>
          <w:tcPr>
            <w:tcW w:w="3333" w:type="dxa"/>
            <w:vMerge w:val="restart"/>
            <w:shd w:val="clear" w:color="auto" w:fill="FFF2CC" w:themeFill="accent4" w:themeFillTint="33"/>
          </w:tcPr>
          <w:p w14:paraId="3858317B" w14:textId="77777777" w:rsidR="00421168" w:rsidRPr="00421168" w:rsidRDefault="00421168" w:rsidP="00060407">
            <w:pPr>
              <w:jc w:val="center"/>
              <w:rPr>
                <w:b/>
                <w:bCs/>
                <w:i/>
                <w:iCs/>
              </w:rPr>
            </w:pPr>
            <w:r w:rsidRPr="00421168">
              <w:rPr>
                <w:b/>
                <w:bCs/>
                <w:i/>
                <w:iCs/>
              </w:rPr>
              <w:t>Part totale du co-traitant</w:t>
            </w:r>
          </w:p>
          <w:p w14:paraId="2CF150CF" w14:textId="1CED7BC6" w:rsidR="00421168" w:rsidRPr="00421168" w:rsidRDefault="00421168" w:rsidP="00060407">
            <w:pPr>
              <w:jc w:val="center"/>
              <w:rPr>
                <w:b/>
                <w:bCs/>
                <w:i/>
                <w:iCs/>
              </w:rPr>
            </w:pPr>
            <w:r w:rsidRPr="00421168">
              <w:rPr>
                <w:b/>
                <w:bCs/>
                <w:i/>
                <w:iCs/>
              </w:rPr>
              <w:t>(</w:t>
            </w:r>
            <w:proofErr w:type="gramStart"/>
            <w:r w:rsidRPr="00421168">
              <w:rPr>
                <w:b/>
                <w:bCs/>
                <w:i/>
                <w:iCs/>
              </w:rPr>
              <w:t>y.c.</w:t>
            </w:r>
            <w:proofErr w:type="gramEnd"/>
            <w:r w:rsidRPr="00421168">
              <w:rPr>
                <w:b/>
                <w:bCs/>
                <w:i/>
                <w:iCs/>
              </w:rPr>
              <w:t xml:space="preserve"> prestation sous-traitées)</w:t>
            </w:r>
          </w:p>
        </w:tc>
      </w:tr>
      <w:tr w:rsidR="00421168" w14:paraId="13A87163" w14:textId="0E016E50" w:rsidTr="00421168">
        <w:tc>
          <w:tcPr>
            <w:tcW w:w="2693" w:type="dxa"/>
            <w:vMerge/>
          </w:tcPr>
          <w:p w14:paraId="23663E02" w14:textId="410E5366" w:rsidR="00421168" w:rsidRPr="00421168" w:rsidRDefault="00421168" w:rsidP="00060407">
            <w:pPr>
              <w:jc w:val="center"/>
              <w:rPr>
                <w:b/>
                <w:bCs/>
                <w:i/>
                <w:iCs/>
              </w:rPr>
            </w:pPr>
          </w:p>
        </w:tc>
        <w:tc>
          <w:tcPr>
            <w:tcW w:w="1843" w:type="dxa"/>
            <w:shd w:val="clear" w:color="auto" w:fill="FFF2CC" w:themeFill="accent4" w:themeFillTint="33"/>
          </w:tcPr>
          <w:p w14:paraId="2465999C" w14:textId="22E05FB6" w:rsidR="00421168" w:rsidRPr="00421168" w:rsidRDefault="00421168" w:rsidP="00060407">
            <w:pPr>
              <w:jc w:val="center"/>
              <w:rPr>
                <w:b/>
                <w:bCs/>
                <w:i/>
                <w:iCs/>
              </w:rPr>
            </w:pPr>
            <w:r w:rsidRPr="00421168">
              <w:rPr>
                <w:b/>
                <w:bCs/>
                <w:i/>
                <w:iCs/>
              </w:rPr>
              <w:t xml:space="preserve"> « Index A »</w:t>
            </w:r>
          </w:p>
        </w:tc>
        <w:tc>
          <w:tcPr>
            <w:tcW w:w="1843" w:type="dxa"/>
            <w:shd w:val="clear" w:color="auto" w:fill="FFF2CC" w:themeFill="accent4" w:themeFillTint="33"/>
          </w:tcPr>
          <w:p w14:paraId="68C2C911" w14:textId="0E77CE3C" w:rsidR="00421168" w:rsidRPr="00421168" w:rsidRDefault="00421168" w:rsidP="00060407">
            <w:pPr>
              <w:jc w:val="center"/>
              <w:rPr>
                <w:b/>
                <w:bCs/>
                <w:i/>
                <w:iCs/>
              </w:rPr>
            </w:pPr>
            <w:r w:rsidRPr="00421168">
              <w:rPr>
                <w:b/>
                <w:bCs/>
                <w:i/>
                <w:iCs/>
              </w:rPr>
              <w:t>« Index B »</w:t>
            </w:r>
          </w:p>
        </w:tc>
        <w:tc>
          <w:tcPr>
            <w:tcW w:w="1842" w:type="dxa"/>
            <w:shd w:val="clear" w:color="auto" w:fill="FFF2CC" w:themeFill="accent4" w:themeFillTint="33"/>
          </w:tcPr>
          <w:p w14:paraId="17B43441" w14:textId="7B978351" w:rsidR="00421168" w:rsidRPr="00421168" w:rsidRDefault="00421168" w:rsidP="00060407">
            <w:pPr>
              <w:jc w:val="center"/>
              <w:rPr>
                <w:b/>
                <w:bCs/>
                <w:i/>
                <w:iCs/>
              </w:rPr>
            </w:pPr>
            <w:r w:rsidRPr="00421168">
              <w:rPr>
                <w:b/>
                <w:bCs/>
                <w:i/>
                <w:iCs/>
              </w:rPr>
              <w:t>« Index C »</w:t>
            </w:r>
          </w:p>
        </w:tc>
        <w:tc>
          <w:tcPr>
            <w:tcW w:w="3333" w:type="dxa"/>
            <w:vMerge/>
          </w:tcPr>
          <w:p w14:paraId="67F1B6CC" w14:textId="77777777" w:rsidR="00421168" w:rsidRPr="00421168" w:rsidRDefault="00421168" w:rsidP="00060407">
            <w:pPr>
              <w:jc w:val="center"/>
              <w:rPr>
                <w:b/>
                <w:bCs/>
                <w:i/>
                <w:iCs/>
              </w:rPr>
            </w:pPr>
          </w:p>
        </w:tc>
      </w:tr>
      <w:tr w:rsidR="00060407" w14:paraId="65C9CB53" w14:textId="3EFE91BE" w:rsidTr="00421168">
        <w:tc>
          <w:tcPr>
            <w:tcW w:w="2693" w:type="dxa"/>
          </w:tcPr>
          <w:p w14:paraId="40129F22" w14:textId="6914FDE4" w:rsidR="00060407" w:rsidRPr="00421168" w:rsidRDefault="00060407" w:rsidP="00060407">
            <w:pPr>
              <w:rPr>
                <w:i/>
                <w:iCs/>
              </w:rPr>
            </w:pPr>
            <w:r w:rsidRPr="00421168">
              <w:rPr>
                <w:i/>
                <w:iCs/>
              </w:rPr>
              <w:t>Co-traitant 1 (mandataire)</w:t>
            </w:r>
          </w:p>
        </w:tc>
        <w:tc>
          <w:tcPr>
            <w:tcW w:w="1843" w:type="dxa"/>
          </w:tcPr>
          <w:p w14:paraId="256FAFB9" w14:textId="77777777" w:rsidR="00060407" w:rsidRPr="00421168" w:rsidRDefault="00060407" w:rsidP="00060407">
            <w:pPr>
              <w:rPr>
                <w:i/>
                <w:iCs/>
              </w:rPr>
            </w:pPr>
          </w:p>
        </w:tc>
        <w:tc>
          <w:tcPr>
            <w:tcW w:w="1843" w:type="dxa"/>
          </w:tcPr>
          <w:p w14:paraId="48B513EA" w14:textId="77777777" w:rsidR="00060407" w:rsidRPr="00421168" w:rsidRDefault="00060407" w:rsidP="00060407">
            <w:pPr>
              <w:rPr>
                <w:i/>
                <w:iCs/>
              </w:rPr>
            </w:pPr>
          </w:p>
        </w:tc>
        <w:tc>
          <w:tcPr>
            <w:tcW w:w="1842" w:type="dxa"/>
          </w:tcPr>
          <w:p w14:paraId="38CA3172" w14:textId="77777777" w:rsidR="00060407" w:rsidRPr="00421168" w:rsidRDefault="00060407" w:rsidP="00060407">
            <w:pPr>
              <w:rPr>
                <w:i/>
                <w:iCs/>
              </w:rPr>
            </w:pPr>
          </w:p>
        </w:tc>
        <w:tc>
          <w:tcPr>
            <w:tcW w:w="3333" w:type="dxa"/>
          </w:tcPr>
          <w:p w14:paraId="4729F380" w14:textId="77777777" w:rsidR="00060407" w:rsidRPr="00421168" w:rsidRDefault="00060407" w:rsidP="00060407">
            <w:pPr>
              <w:rPr>
                <w:i/>
                <w:iCs/>
              </w:rPr>
            </w:pPr>
          </w:p>
        </w:tc>
      </w:tr>
      <w:tr w:rsidR="00060407" w14:paraId="4B0149B9" w14:textId="2F6F484C" w:rsidTr="00421168">
        <w:tc>
          <w:tcPr>
            <w:tcW w:w="2693" w:type="dxa"/>
          </w:tcPr>
          <w:p w14:paraId="17EA4E2F" w14:textId="4553319B" w:rsidR="00060407" w:rsidRPr="00421168" w:rsidRDefault="00060407" w:rsidP="00060407">
            <w:pPr>
              <w:rPr>
                <w:i/>
                <w:iCs/>
              </w:rPr>
            </w:pPr>
            <w:r w:rsidRPr="00421168">
              <w:rPr>
                <w:i/>
                <w:iCs/>
              </w:rPr>
              <w:t>Co-traitant 2</w:t>
            </w:r>
          </w:p>
        </w:tc>
        <w:tc>
          <w:tcPr>
            <w:tcW w:w="1843" w:type="dxa"/>
          </w:tcPr>
          <w:p w14:paraId="12C61A9F" w14:textId="77777777" w:rsidR="00060407" w:rsidRPr="00421168" w:rsidRDefault="00060407" w:rsidP="00060407">
            <w:pPr>
              <w:rPr>
                <w:i/>
                <w:iCs/>
              </w:rPr>
            </w:pPr>
          </w:p>
        </w:tc>
        <w:tc>
          <w:tcPr>
            <w:tcW w:w="1843" w:type="dxa"/>
          </w:tcPr>
          <w:p w14:paraId="54F80C6B" w14:textId="77777777" w:rsidR="00060407" w:rsidRPr="00421168" w:rsidRDefault="00060407" w:rsidP="00060407">
            <w:pPr>
              <w:rPr>
                <w:i/>
                <w:iCs/>
              </w:rPr>
            </w:pPr>
          </w:p>
        </w:tc>
        <w:tc>
          <w:tcPr>
            <w:tcW w:w="1842" w:type="dxa"/>
          </w:tcPr>
          <w:p w14:paraId="4E5E8953" w14:textId="77777777" w:rsidR="00060407" w:rsidRPr="00421168" w:rsidRDefault="00060407" w:rsidP="00060407">
            <w:pPr>
              <w:rPr>
                <w:i/>
                <w:iCs/>
              </w:rPr>
            </w:pPr>
          </w:p>
        </w:tc>
        <w:tc>
          <w:tcPr>
            <w:tcW w:w="3333" w:type="dxa"/>
          </w:tcPr>
          <w:p w14:paraId="5B355A6F" w14:textId="77777777" w:rsidR="00060407" w:rsidRPr="00421168" w:rsidRDefault="00060407" w:rsidP="00060407">
            <w:pPr>
              <w:rPr>
                <w:i/>
                <w:iCs/>
              </w:rPr>
            </w:pPr>
          </w:p>
        </w:tc>
      </w:tr>
      <w:tr w:rsidR="00060407" w14:paraId="2C7DBEC2" w14:textId="28DB3176" w:rsidTr="00421168">
        <w:tc>
          <w:tcPr>
            <w:tcW w:w="2693" w:type="dxa"/>
          </w:tcPr>
          <w:p w14:paraId="098A2EC2" w14:textId="6C6B6DC7" w:rsidR="00060407" w:rsidRPr="00421168" w:rsidRDefault="00060407" w:rsidP="00060407">
            <w:pPr>
              <w:rPr>
                <w:i/>
                <w:iCs/>
              </w:rPr>
            </w:pPr>
            <w:r w:rsidRPr="00421168">
              <w:rPr>
                <w:i/>
                <w:iCs/>
              </w:rPr>
              <w:t>Co-traitant 3</w:t>
            </w:r>
          </w:p>
        </w:tc>
        <w:tc>
          <w:tcPr>
            <w:tcW w:w="1843" w:type="dxa"/>
          </w:tcPr>
          <w:p w14:paraId="153088C5" w14:textId="77777777" w:rsidR="00060407" w:rsidRPr="00421168" w:rsidRDefault="00060407" w:rsidP="00060407">
            <w:pPr>
              <w:rPr>
                <w:i/>
                <w:iCs/>
              </w:rPr>
            </w:pPr>
          </w:p>
        </w:tc>
        <w:tc>
          <w:tcPr>
            <w:tcW w:w="1843" w:type="dxa"/>
          </w:tcPr>
          <w:p w14:paraId="01FB9B34" w14:textId="77777777" w:rsidR="00060407" w:rsidRPr="00421168" w:rsidRDefault="00060407" w:rsidP="00060407">
            <w:pPr>
              <w:rPr>
                <w:i/>
                <w:iCs/>
              </w:rPr>
            </w:pPr>
          </w:p>
        </w:tc>
        <w:tc>
          <w:tcPr>
            <w:tcW w:w="1842" w:type="dxa"/>
          </w:tcPr>
          <w:p w14:paraId="3FEA28AF" w14:textId="77777777" w:rsidR="00060407" w:rsidRPr="00421168" w:rsidRDefault="00060407" w:rsidP="00060407">
            <w:pPr>
              <w:rPr>
                <w:i/>
                <w:iCs/>
              </w:rPr>
            </w:pPr>
          </w:p>
        </w:tc>
        <w:tc>
          <w:tcPr>
            <w:tcW w:w="3333" w:type="dxa"/>
          </w:tcPr>
          <w:p w14:paraId="7C054D3C" w14:textId="77777777" w:rsidR="00060407" w:rsidRPr="00421168" w:rsidRDefault="00060407" w:rsidP="00060407">
            <w:pPr>
              <w:rPr>
                <w:i/>
                <w:iCs/>
              </w:rPr>
            </w:pPr>
          </w:p>
        </w:tc>
      </w:tr>
    </w:tbl>
    <w:p w14:paraId="0FC47B63" w14:textId="77777777" w:rsidR="00060407" w:rsidRDefault="00060407" w:rsidP="00060407"/>
    <w:p w14:paraId="443FF561" w14:textId="60FA6B5A" w:rsidR="00E60572" w:rsidRDefault="00E60572" w:rsidP="00E60572">
      <w:pPr>
        <w:rPr>
          <w:b/>
          <w:bCs/>
        </w:rPr>
      </w:pPr>
      <w:r w:rsidRPr="00C81BCB">
        <w:rPr>
          <w:b/>
          <w:bCs/>
        </w:rPr>
        <w:t xml:space="preserve">L’absence de </w:t>
      </w:r>
      <w:r w:rsidR="00C81BCB" w:rsidRPr="00C81BCB">
        <w:rPr>
          <w:b/>
          <w:bCs/>
        </w:rPr>
        <w:t xml:space="preserve">transmission de </w:t>
      </w:r>
      <w:r w:rsidRPr="00C81BCB">
        <w:rPr>
          <w:b/>
          <w:bCs/>
        </w:rPr>
        <w:t>ces informations en annexe au projet de décompte entraine son irrecevabilité pour incomplétude.</w:t>
      </w:r>
    </w:p>
    <w:p w14:paraId="01F53C5B" w14:textId="0993B7FD" w:rsidR="00C81BCB" w:rsidRDefault="00C81BCB" w:rsidP="00E60572">
      <w:pPr>
        <w:rPr>
          <w:b/>
          <w:bCs/>
        </w:rPr>
      </w:pPr>
      <w:r>
        <w:rPr>
          <w:b/>
          <w:bCs/>
        </w:rPr>
        <w:t>La date de départ du délai de paiement prise en référence est alors corrigée à la date de réception de l’ensemble des pièces complémentaire par le maître d’œuvre.</w:t>
      </w:r>
    </w:p>
    <w:p w14:paraId="1DBD6008" w14:textId="45DF503F" w:rsidR="00A9231E" w:rsidRDefault="00EA7CDB" w:rsidP="00E60572">
      <w:r w:rsidRPr="00EA7CDB">
        <w:t>Au stade du projet de décompte final,</w:t>
      </w:r>
      <w:r>
        <w:t xml:space="preserve"> lorsque le montant cumulé versé au sous-traitant est inférieur au montant sous-traité déclaré à l’acte de sous-traitance (DC4)</w:t>
      </w:r>
      <w:r w:rsidRPr="00EA7CDB">
        <w:t xml:space="preserve"> les attestat</w:t>
      </w:r>
      <w:r>
        <w:t xml:space="preserve">ions de paiement des sous-traitant sont complétées par des QUITUS. </w:t>
      </w:r>
    </w:p>
    <w:p w14:paraId="23165CAD" w14:textId="6563901E" w:rsidR="00EA7CDB" w:rsidRPr="00EA7CDB" w:rsidRDefault="00EA7CDB" w:rsidP="00E60572">
      <w:r>
        <w:t xml:space="preserve">Lorsque le montant cumulé à verser au sous-traitant est supérieur au montant sous-traité </w:t>
      </w:r>
      <w:r>
        <w:t>déclaré à l’acte de sous-traitance (DC4</w:t>
      </w:r>
      <w:r>
        <w:t>, un acte de sous-traitance modificatif est doit impérativement être établit préalablement.</w:t>
      </w:r>
    </w:p>
    <w:p w14:paraId="4C09EAAC" w14:textId="77777777" w:rsidR="00A9231E" w:rsidRDefault="00A9231E" w:rsidP="00E60572">
      <w:pPr>
        <w:rPr>
          <w:b/>
          <w:bCs/>
        </w:rPr>
      </w:pPr>
    </w:p>
    <w:p w14:paraId="13C9AC04" w14:textId="2F70CC12" w:rsidR="00E60572" w:rsidRPr="00B7123D" w:rsidRDefault="00B7123D" w:rsidP="00E60572">
      <w:pPr>
        <w:rPr>
          <w:b/>
          <w:bCs/>
          <w:u w:val="single"/>
        </w:rPr>
      </w:pPr>
      <w:r w:rsidRPr="00B7123D">
        <w:rPr>
          <w:b/>
          <w:bCs/>
          <w:u w:val="single"/>
        </w:rPr>
        <w:t xml:space="preserve">Contrôle et correction du projet de décompte GEMME remis par l’entreprise par le Maitre d’œuvre. </w:t>
      </w:r>
    </w:p>
    <w:p w14:paraId="4B689E4A" w14:textId="0E1030E0" w:rsidR="00932224" w:rsidRPr="00066EF9" w:rsidRDefault="00466734" w:rsidP="00932224">
      <w:r>
        <w:t xml:space="preserve">A réception du projet de décompte, le </w:t>
      </w:r>
      <w:r w:rsidR="00932224" w:rsidRPr="00066EF9">
        <w:t xml:space="preserve">Maitre d’œuvre </w:t>
      </w:r>
      <w:r w:rsidRPr="00066EF9">
        <w:t>procède</w:t>
      </w:r>
      <w:r w:rsidR="00EA7CDB" w:rsidRPr="00066EF9">
        <w:t xml:space="preserve"> à la vérification et à la validation du projet de décompte (ou à son rejet) dans le délai qui lui est imposé au titre de son marché de maîtrise d’œuvre. Ce délai </w:t>
      </w:r>
      <w:r w:rsidR="00932224" w:rsidRPr="00066EF9">
        <w:t xml:space="preserve">ne doit pas excéder 10 jours calendaires. </w:t>
      </w:r>
    </w:p>
    <w:p w14:paraId="39EBD750" w14:textId="77777777" w:rsidR="00066EF9" w:rsidRDefault="00EA7CDB" w:rsidP="00066EF9">
      <w:pPr>
        <w:pStyle w:val="Paragraphedeliste"/>
        <w:numPr>
          <w:ilvl w:val="0"/>
          <w:numId w:val="4"/>
        </w:numPr>
      </w:pPr>
      <w:r w:rsidRPr="00066EF9">
        <w:t xml:space="preserve">Lorsque le projet de décompte n’appelle pas de correction de la part du maître d’œuvre, il procède à la </w:t>
      </w:r>
      <w:r w:rsidR="00932224" w:rsidRPr="00066EF9">
        <w:t>signature du projet de décompte</w:t>
      </w:r>
      <w:r w:rsidRPr="00066EF9">
        <w:t xml:space="preserve"> et en assure </w:t>
      </w:r>
      <w:r w:rsidR="00932224" w:rsidRPr="00066EF9">
        <w:t>la transmission au Maître d’ouvrage, en adressant copie à l’entreprise</w:t>
      </w:r>
      <w:r w:rsidRPr="00066EF9">
        <w:t>, selon les modalités définies par le marché de maîtrise d’œuvre</w:t>
      </w:r>
      <w:r w:rsidR="00066EF9">
        <w:t>.</w:t>
      </w:r>
    </w:p>
    <w:p w14:paraId="185586B3" w14:textId="19E4235B" w:rsidR="00066EF9" w:rsidRPr="00066EF9" w:rsidRDefault="00EA7CDB" w:rsidP="00066EF9">
      <w:pPr>
        <w:pStyle w:val="Paragraphedeliste"/>
        <w:numPr>
          <w:ilvl w:val="0"/>
          <w:numId w:val="4"/>
        </w:numPr>
      </w:pPr>
      <w:r w:rsidRPr="00066EF9">
        <w:t xml:space="preserve">Lorsque le projet de décompte appelle des corrections de la part du maitre d’œuvre, ce dernier procède à la correction, par une couleur identifiable, des éléments requis : La mention initiale est barrée, et la donnée corrigée est indiquée par le maître d’œuvre. </w:t>
      </w:r>
      <w:r w:rsidR="00066EF9" w:rsidRPr="00066EF9">
        <w:t>Il convient d’être vigilant dans la prise en compte complète des</w:t>
      </w:r>
      <w:r w:rsidRPr="00066EF9">
        <w:t xml:space="preserve"> conséquences des corrections apportées </w:t>
      </w:r>
      <w:r w:rsidR="00066EF9" w:rsidRPr="00066EF9">
        <w:t>au projet de décompte (La modification d’une quantité mesurée (4) ou d’une quantité estimée cumulée (5) renseignée par l’entreprise implique la correction du « Montant HT de la situation » (2), ainsi que la correction de la répartition de la somme entre les co-</w:t>
      </w:r>
      <w:proofErr w:type="gramStart"/>
      <w:r w:rsidR="00066EF9" w:rsidRPr="00066EF9">
        <w:t xml:space="preserve">traitants  </w:t>
      </w:r>
      <w:r w:rsidR="00066EF9" w:rsidRPr="00066EF9">
        <w:t>«</w:t>
      </w:r>
      <w:proofErr w:type="gramEnd"/>
      <w:r w:rsidR="00066EF9" w:rsidRPr="00066EF9">
        <w:t> Montant réalisé HT sur ce projet de décompte »</w:t>
      </w:r>
      <w:r w:rsidR="00066EF9" w:rsidRPr="00066EF9">
        <w:t xml:space="preserve"> (7)</w:t>
      </w:r>
      <w:r w:rsidR="00066EF9">
        <w:t xml:space="preserve"> )</w:t>
      </w:r>
    </w:p>
    <w:p w14:paraId="18013E75" w14:textId="241D51F4" w:rsidR="00EA7CDB" w:rsidRPr="00EA7CDB" w:rsidRDefault="00EA7CDB" w:rsidP="00932224">
      <w:pPr>
        <w:rPr>
          <w:sz w:val="20"/>
          <w:szCs w:val="20"/>
        </w:rPr>
      </w:pPr>
    </w:p>
    <w:sectPr w:rsidR="00EA7CDB" w:rsidRPr="00EA7CDB" w:rsidSect="002B576F">
      <w:footerReference w:type="default" r:id="rId9"/>
      <w:pgSz w:w="16838" w:h="11906" w:orient="landscape"/>
      <w:pgMar w:top="720" w:right="720" w:bottom="720" w:left="72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D94B4" w14:textId="77777777" w:rsidR="00400706" w:rsidRDefault="00400706" w:rsidP="00922E63">
      <w:pPr>
        <w:spacing w:after="0" w:line="240" w:lineRule="auto"/>
      </w:pPr>
      <w:r>
        <w:separator/>
      </w:r>
    </w:p>
  </w:endnote>
  <w:endnote w:type="continuationSeparator" w:id="0">
    <w:p w14:paraId="17E79C04" w14:textId="77777777" w:rsidR="00400706" w:rsidRDefault="00400706" w:rsidP="00922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1490" w14:textId="606835BC" w:rsidR="002B576F" w:rsidRPr="00066EF9" w:rsidRDefault="00066EF9" w:rsidP="00066EF9">
    <w:pPr>
      <w:pStyle w:val="Pieddepage"/>
      <w:jc w:val="right"/>
      <w:rPr>
        <w:color w:val="4472C4" w:themeColor="accent1"/>
        <w:sz w:val="20"/>
        <w:szCs w:val="20"/>
      </w:rPr>
    </w:pPr>
    <w:r w:rsidRPr="00066EF9">
      <w:rPr>
        <w:color w:val="4472C4" w:themeColor="accent1"/>
        <w:sz w:val="20"/>
        <w:szCs w:val="20"/>
      </w:rPr>
      <w:t>Notice « Renseignement d’un projet de décompte ‘GEMME’ »</w:t>
    </w:r>
    <w:r w:rsidRPr="00066EF9">
      <w:rPr>
        <w:color w:val="4472C4" w:themeColor="accent1"/>
        <w:sz w:val="20"/>
        <w:szCs w:val="20"/>
      </w:rPr>
      <w:tab/>
    </w:r>
    <w:r w:rsidRPr="00066EF9">
      <w:rPr>
        <w:color w:val="4472C4" w:themeColor="accent1"/>
        <w:sz w:val="20"/>
        <w:szCs w:val="20"/>
      </w:rPr>
      <w:tab/>
    </w:r>
    <w:r w:rsidRPr="00066EF9">
      <w:rPr>
        <w:color w:val="4472C4" w:themeColor="accent1"/>
        <w:sz w:val="20"/>
        <w:szCs w:val="20"/>
      </w:rPr>
      <w:tab/>
    </w:r>
    <w:r w:rsidRPr="00066EF9">
      <w:rPr>
        <w:color w:val="4472C4" w:themeColor="accent1"/>
        <w:sz w:val="20"/>
        <w:szCs w:val="20"/>
      </w:rPr>
      <w:tab/>
    </w:r>
    <w:r w:rsidRPr="00066EF9">
      <w:rPr>
        <w:color w:val="4472C4" w:themeColor="accent1"/>
        <w:sz w:val="20"/>
        <w:szCs w:val="20"/>
      </w:rPr>
      <w:tab/>
    </w:r>
    <w:r w:rsidRPr="00066EF9">
      <w:rPr>
        <w:color w:val="4472C4" w:themeColor="accent1"/>
        <w:sz w:val="20"/>
        <w:szCs w:val="20"/>
      </w:rPr>
      <w:tab/>
    </w:r>
    <w:r w:rsidRPr="00066EF9">
      <w:rPr>
        <w:color w:val="4472C4" w:themeColor="accent1"/>
        <w:sz w:val="20"/>
        <w:szCs w:val="20"/>
      </w:rPr>
      <w:tab/>
    </w:r>
    <w:r w:rsidRPr="00066EF9">
      <w:rPr>
        <w:color w:val="4472C4" w:themeColor="accent1"/>
        <w:sz w:val="20"/>
        <w:szCs w:val="20"/>
      </w:rPr>
      <w:tab/>
    </w:r>
    <w:r w:rsidRPr="00066EF9">
      <w:rPr>
        <w:color w:val="4472C4" w:themeColor="accent1"/>
        <w:sz w:val="20"/>
        <w:szCs w:val="20"/>
      </w:rPr>
      <w:tab/>
    </w:r>
    <w:r w:rsidR="002B576F" w:rsidRPr="00066EF9">
      <w:rPr>
        <w:color w:val="4472C4" w:themeColor="accent1"/>
        <w:sz w:val="20"/>
        <w:szCs w:val="20"/>
      </w:rPr>
      <w:t xml:space="preserve">Page </w:t>
    </w:r>
    <w:r w:rsidR="002B576F" w:rsidRPr="00066EF9">
      <w:rPr>
        <w:color w:val="4472C4" w:themeColor="accent1"/>
        <w:sz w:val="20"/>
        <w:szCs w:val="20"/>
      </w:rPr>
      <w:fldChar w:fldCharType="begin"/>
    </w:r>
    <w:r w:rsidR="002B576F" w:rsidRPr="00066EF9">
      <w:rPr>
        <w:color w:val="4472C4" w:themeColor="accent1"/>
        <w:sz w:val="20"/>
        <w:szCs w:val="20"/>
      </w:rPr>
      <w:instrText>PAGE  \* Arabic  \* MERGEFORMAT</w:instrText>
    </w:r>
    <w:r w:rsidR="002B576F" w:rsidRPr="00066EF9">
      <w:rPr>
        <w:color w:val="4472C4" w:themeColor="accent1"/>
        <w:sz w:val="20"/>
        <w:szCs w:val="20"/>
      </w:rPr>
      <w:fldChar w:fldCharType="separate"/>
    </w:r>
    <w:r w:rsidR="002B576F" w:rsidRPr="00066EF9">
      <w:rPr>
        <w:color w:val="4472C4" w:themeColor="accent1"/>
        <w:sz w:val="20"/>
        <w:szCs w:val="20"/>
      </w:rPr>
      <w:t>2</w:t>
    </w:r>
    <w:r w:rsidR="002B576F" w:rsidRPr="00066EF9">
      <w:rPr>
        <w:color w:val="4472C4" w:themeColor="accent1"/>
        <w:sz w:val="20"/>
        <w:szCs w:val="20"/>
      </w:rPr>
      <w:fldChar w:fldCharType="end"/>
    </w:r>
    <w:r w:rsidR="002B576F" w:rsidRPr="00066EF9">
      <w:rPr>
        <w:color w:val="4472C4" w:themeColor="accent1"/>
        <w:sz w:val="20"/>
        <w:szCs w:val="20"/>
      </w:rPr>
      <w:t xml:space="preserve"> sur </w:t>
    </w:r>
    <w:r w:rsidR="002B576F" w:rsidRPr="00066EF9">
      <w:rPr>
        <w:color w:val="4472C4" w:themeColor="accent1"/>
        <w:sz w:val="20"/>
        <w:szCs w:val="20"/>
      </w:rPr>
      <w:fldChar w:fldCharType="begin"/>
    </w:r>
    <w:r w:rsidR="002B576F" w:rsidRPr="00066EF9">
      <w:rPr>
        <w:color w:val="4472C4" w:themeColor="accent1"/>
        <w:sz w:val="20"/>
        <w:szCs w:val="20"/>
      </w:rPr>
      <w:instrText>NUMPAGES  \* arabe  \* MERGEFORMAT</w:instrText>
    </w:r>
    <w:r w:rsidR="002B576F" w:rsidRPr="00066EF9">
      <w:rPr>
        <w:color w:val="4472C4" w:themeColor="accent1"/>
        <w:sz w:val="20"/>
        <w:szCs w:val="20"/>
      </w:rPr>
      <w:fldChar w:fldCharType="separate"/>
    </w:r>
    <w:r w:rsidR="002B576F" w:rsidRPr="00066EF9">
      <w:rPr>
        <w:color w:val="4472C4" w:themeColor="accent1"/>
        <w:sz w:val="20"/>
        <w:szCs w:val="20"/>
      </w:rPr>
      <w:t>2</w:t>
    </w:r>
    <w:r w:rsidR="002B576F" w:rsidRPr="00066EF9">
      <w:rPr>
        <w:color w:val="4472C4" w:themeColor="accent1"/>
        <w:sz w:val="20"/>
        <w:szCs w:val="20"/>
      </w:rPr>
      <w:fldChar w:fldCharType="end"/>
    </w:r>
  </w:p>
  <w:p w14:paraId="6BC40971" w14:textId="77777777" w:rsidR="002B576F" w:rsidRDefault="002B576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A6C30" w14:textId="77777777" w:rsidR="00400706" w:rsidRDefault="00400706" w:rsidP="00922E63">
      <w:pPr>
        <w:spacing w:after="0" w:line="240" w:lineRule="auto"/>
      </w:pPr>
      <w:r>
        <w:separator/>
      </w:r>
    </w:p>
  </w:footnote>
  <w:footnote w:type="continuationSeparator" w:id="0">
    <w:p w14:paraId="502816F8" w14:textId="77777777" w:rsidR="00400706" w:rsidRDefault="00400706" w:rsidP="00922E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44102"/>
    <w:multiLevelType w:val="hybridMultilevel"/>
    <w:tmpl w:val="E1BA2DD4"/>
    <w:lvl w:ilvl="0" w:tplc="9250B5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8F7931"/>
    <w:multiLevelType w:val="hybridMultilevel"/>
    <w:tmpl w:val="2F32E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3577622"/>
    <w:multiLevelType w:val="hybridMultilevel"/>
    <w:tmpl w:val="C0C6E8BC"/>
    <w:lvl w:ilvl="0" w:tplc="269CAC9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924B96"/>
    <w:multiLevelType w:val="hybridMultilevel"/>
    <w:tmpl w:val="EA1E2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13F"/>
    <w:rsid w:val="00060407"/>
    <w:rsid w:val="00066EF9"/>
    <w:rsid w:val="001235B4"/>
    <w:rsid w:val="001336B0"/>
    <w:rsid w:val="00191D62"/>
    <w:rsid w:val="001B3118"/>
    <w:rsid w:val="00280C70"/>
    <w:rsid w:val="002961B0"/>
    <w:rsid w:val="002B576F"/>
    <w:rsid w:val="003A37D0"/>
    <w:rsid w:val="003E2E3B"/>
    <w:rsid w:val="00400706"/>
    <w:rsid w:val="00421168"/>
    <w:rsid w:val="0044341D"/>
    <w:rsid w:val="00466734"/>
    <w:rsid w:val="004B0437"/>
    <w:rsid w:val="0050432B"/>
    <w:rsid w:val="00545D3E"/>
    <w:rsid w:val="006111D0"/>
    <w:rsid w:val="006737E3"/>
    <w:rsid w:val="006A213F"/>
    <w:rsid w:val="006F315A"/>
    <w:rsid w:val="007F344B"/>
    <w:rsid w:val="00922E63"/>
    <w:rsid w:val="00932224"/>
    <w:rsid w:val="00956979"/>
    <w:rsid w:val="00A02896"/>
    <w:rsid w:val="00A9231E"/>
    <w:rsid w:val="00B7123D"/>
    <w:rsid w:val="00C81BCB"/>
    <w:rsid w:val="00D54DA8"/>
    <w:rsid w:val="00DA67CE"/>
    <w:rsid w:val="00DA7433"/>
    <w:rsid w:val="00E44256"/>
    <w:rsid w:val="00E60572"/>
    <w:rsid w:val="00EA7CDB"/>
    <w:rsid w:val="00F10817"/>
    <w:rsid w:val="00F27D0A"/>
    <w:rsid w:val="00F36C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AE3AC"/>
  <w15:chartTrackingRefBased/>
  <w15:docId w15:val="{3016357B-9DDB-4BBC-BC01-FC20E20F0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66E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60572"/>
    <w:pPr>
      <w:ind w:left="720"/>
      <w:contextualSpacing/>
    </w:pPr>
  </w:style>
  <w:style w:type="table" w:styleId="Grilledutableau">
    <w:name w:val="Table Grid"/>
    <w:basedOn w:val="TableauNormal"/>
    <w:uiPriority w:val="39"/>
    <w:rsid w:val="00E60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22E63"/>
    <w:pPr>
      <w:tabs>
        <w:tab w:val="center" w:pos="4536"/>
        <w:tab w:val="right" w:pos="9072"/>
      </w:tabs>
      <w:spacing w:after="0" w:line="240" w:lineRule="auto"/>
    </w:pPr>
  </w:style>
  <w:style w:type="character" w:customStyle="1" w:styleId="En-tteCar">
    <w:name w:val="En-tête Car"/>
    <w:basedOn w:val="Policepardfaut"/>
    <w:link w:val="En-tte"/>
    <w:uiPriority w:val="99"/>
    <w:rsid w:val="00922E63"/>
  </w:style>
  <w:style w:type="paragraph" w:styleId="Pieddepage">
    <w:name w:val="footer"/>
    <w:basedOn w:val="Normal"/>
    <w:link w:val="PieddepageCar"/>
    <w:uiPriority w:val="99"/>
    <w:unhideWhenUsed/>
    <w:rsid w:val="00922E6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2E63"/>
  </w:style>
  <w:style w:type="character" w:customStyle="1" w:styleId="Titre1Car">
    <w:name w:val="Titre 1 Car"/>
    <w:basedOn w:val="Policepardfaut"/>
    <w:link w:val="Titre1"/>
    <w:uiPriority w:val="9"/>
    <w:rsid w:val="00066EF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B9882-AFE8-4BA4-A577-DB32176A1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2022</Words>
  <Characters>11123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CODDET Flavien</dc:creator>
  <cp:keywords/>
  <dc:description/>
  <cp:lastModifiedBy>CODDET Flavien</cp:lastModifiedBy>
  <cp:revision>2</cp:revision>
  <dcterms:created xsi:type="dcterms:W3CDTF">2025-01-09T14:41:00Z</dcterms:created>
  <dcterms:modified xsi:type="dcterms:W3CDTF">2025-01-09T14:41:00Z</dcterms:modified>
</cp:coreProperties>
</file>